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552" w14:textId="278F8C43" w:rsidR="001B2C43" w:rsidRPr="00FD1C4D" w:rsidRDefault="001B2C43" w:rsidP="001B2C43">
      <w:pPr>
        <w:spacing w:before="10"/>
        <w:ind w:left="5670"/>
        <w:rPr>
          <w:sz w:val="22"/>
          <w:szCs w:val="22"/>
        </w:rPr>
      </w:pPr>
      <w:r w:rsidRPr="00FD1C4D">
        <w:rPr>
          <w:sz w:val="22"/>
          <w:szCs w:val="22"/>
        </w:rPr>
        <w:t>Додаток 3</w:t>
      </w:r>
    </w:p>
    <w:p w14:paraId="30682CE8" w14:textId="77777777" w:rsidR="001B2C43" w:rsidRPr="00FD1C4D" w:rsidRDefault="001B2C43" w:rsidP="001B2C43">
      <w:pPr>
        <w:spacing w:before="10"/>
        <w:ind w:left="5670"/>
        <w:rPr>
          <w:sz w:val="22"/>
          <w:szCs w:val="22"/>
        </w:rPr>
      </w:pPr>
      <w:r w:rsidRPr="00FD1C4D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Pr="00FD1C4D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FD1C4D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97CC70F" w:rsidR="00E249B8" w:rsidRPr="00FD1C4D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FD1C4D">
        <w:rPr>
          <w:b/>
          <w:sz w:val="22"/>
          <w:szCs w:val="22"/>
        </w:rPr>
        <w:t xml:space="preserve">КОМЕРЦІЙНА ПРОПОЗИЦІЯ № </w:t>
      </w:r>
      <w:r w:rsidR="001B2C43" w:rsidRPr="00FD1C4D">
        <w:rPr>
          <w:b/>
          <w:sz w:val="22"/>
          <w:szCs w:val="22"/>
        </w:rPr>
        <w:t>3</w:t>
      </w:r>
    </w:p>
    <w:p w14:paraId="5EDBF7AA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698D5B50" w:rsidR="00E249B8" w:rsidRPr="00FD1C4D" w:rsidRDefault="00E249B8" w:rsidP="003C0455">
      <w:pPr>
        <w:tabs>
          <w:tab w:val="left" w:pos="1695"/>
        </w:tabs>
        <w:jc w:val="both"/>
        <w:rPr>
          <w:sz w:val="22"/>
          <w:szCs w:val="22"/>
        </w:rPr>
      </w:pPr>
      <w:r w:rsidRPr="00FD1C4D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FD1C4D" w:rsidRPr="00FD1C4D">
        <w:rPr>
          <w:b/>
          <w:color w:val="000000"/>
          <w:sz w:val="22"/>
          <w:szCs w:val="22"/>
          <w:u w:val="single"/>
        </w:rPr>
        <w:t>ВІННИЦЯ</w:t>
      </w:r>
      <w:r w:rsidRPr="00FD1C4D">
        <w:rPr>
          <w:b/>
          <w:color w:val="000000"/>
          <w:sz w:val="22"/>
          <w:szCs w:val="22"/>
          <w:u w:val="single"/>
        </w:rPr>
        <w:t>»</w:t>
      </w:r>
      <w:r w:rsidRPr="00FD1C4D">
        <w:rPr>
          <w:color w:val="000000"/>
          <w:sz w:val="22"/>
          <w:szCs w:val="22"/>
          <w:u w:val="single"/>
        </w:rPr>
        <w:t xml:space="preserve">, </w:t>
      </w:r>
      <w:r w:rsidRPr="00FD1C4D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  <w:r w:rsidRPr="00FD1C4D">
        <w:rPr>
          <w:b/>
          <w:sz w:val="22"/>
          <w:szCs w:val="22"/>
          <w:u w:val="single"/>
        </w:rPr>
        <w:t>Предмет комерційної пропозиції</w:t>
      </w:r>
      <w:r w:rsidRPr="00FD1C4D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E249B8" w:rsidRPr="00FD1C4D" w14:paraId="12A1991A" w14:textId="77777777" w:rsidTr="003C0455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796" w:type="dxa"/>
            <w:shd w:val="clear" w:color="auto" w:fill="auto"/>
          </w:tcPr>
          <w:p w14:paraId="6E717BA7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FD1C4D" w14:paraId="19111F99" w14:textId="77777777" w:rsidTr="003C0455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FD1C4D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796" w:type="dxa"/>
            <w:shd w:val="clear" w:color="auto" w:fill="auto"/>
          </w:tcPr>
          <w:p w14:paraId="7CD705D1" w14:textId="430EA5CF" w:rsidR="00E249B8" w:rsidRPr="00FD1C4D" w:rsidRDefault="00E249B8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Фізична особа є власником (користувачем) об’єкта; </w:t>
            </w:r>
          </w:p>
          <w:p w14:paraId="60071CFB" w14:textId="16C46799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 3-зонним обліком, що передбачено 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368BB22B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11DD073C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6506DFC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4F280178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FD1C4D" w14:paraId="5A4A2CEF" w14:textId="77777777" w:rsidTr="003C0455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796" w:type="dxa"/>
            <w:shd w:val="clear" w:color="auto" w:fill="auto"/>
          </w:tcPr>
          <w:p w14:paraId="37EC9A93" w14:textId="269A6E2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</w:t>
            </w:r>
            <w:r w:rsidR="003C0455">
              <w:rPr>
                <w:sz w:val="22"/>
                <w:szCs w:val="22"/>
              </w:rPr>
              <w:t>п</w:t>
            </w:r>
            <w:r w:rsidRPr="00FD1C4D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FD1C4D">
              <w:rPr>
                <w:rFonts w:ascii="Calibri" w:hAnsi="Calibri" w:cs="Calibri"/>
                <w:sz w:val="22"/>
                <w:szCs w:val="22"/>
              </w:rPr>
              <w:t>'</w:t>
            </w:r>
            <w:r w:rsidRPr="00FD1C4D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3C0455" w:rsidRPr="003C5AF8">
              <w:rPr>
                <w:bCs/>
                <w:sz w:val="22"/>
                <w:szCs w:val="22"/>
              </w:rPr>
              <w:t>зі змінами відповідно до постанови Кабінету Міністрів України від 22.10.2025 №1331</w:t>
            </w:r>
            <w:r w:rsidRPr="00FD1C4D">
              <w:rPr>
                <w:sz w:val="22"/>
                <w:szCs w:val="22"/>
              </w:rPr>
              <w:t>) із застосуванням таких коефіцієнтів:</w:t>
            </w:r>
          </w:p>
          <w:p w14:paraId="28682F4E" w14:textId="77777777" w:rsidR="001B2C43" w:rsidRPr="00FD1C4D" w:rsidRDefault="00E249B8" w:rsidP="001B2C43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1) </w:t>
            </w:r>
            <w:r w:rsidR="001B2C43" w:rsidRPr="00FD1C4D">
              <w:rPr>
                <w:sz w:val="22"/>
                <w:szCs w:val="22"/>
              </w:rPr>
              <w:t>за тризонним диференціюванням за періодами часу:</w:t>
            </w:r>
          </w:p>
          <w:p w14:paraId="4A6196E5" w14:textId="16DDBE74" w:rsidR="001B2C43" w:rsidRPr="003C0455" w:rsidRDefault="001B2C43" w:rsidP="00853BA6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1,5 фіксованої ціни в години максимального навантаження енергосистеми (з 8-ї до 11-ї години і з 20-ї до 22-ї години);</w:t>
            </w:r>
          </w:p>
          <w:p w14:paraId="56CD16A4" w14:textId="637E00EF" w:rsidR="001B2C43" w:rsidRPr="003C0455" w:rsidRDefault="001B2C43" w:rsidP="00F7153E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повна фіксована ціна у напівпіковий період (з 7-ї до 8-ї години, з 11-ї до 20-ї години, з 22-ї до 23-ї години);</w:t>
            </w:r>
          </w:p>
          <w:p w14:paraId="7EB0E1B7" w14:textId="0EE73A5C" w:rsidR="0008026E" w:rsidRPr="003C0455" w:rsidRDefault="001B2C43" w:rsidP="00073FEE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0,4 фіксованої ціни в години нічного мінімального навантаження енергосистеми (з 23-ї до 7-ї години).</w:t>
            </w:r>
            <w:r w:rsidR="008775A9" w:rsidRPr="003C0455">
              <w:rPr>
                <w:sz w:val="22"/>
                <w:szCs w:val="22"/>
              </w:rPr>
              <w:t xml:space="preserve"> </w:t>
            </w:r>
          </w:p>
          <w:p w14:paraId="3E0EB389" w14:textId="77777777" w:rsidR="0008026E" w:rsidRPr="00FD1C4D" w:rsidRDefault="0008026E" w:rsidP="001B2C43">
            <w:pPr>
              <w:jc w:val="both"/>
              <w:rPr>
                <w:sz w:val="22"/>
                <w:szCs w:val="22"/>
              </w:rPr>
            </w:pPr>
          </w:p>
          <w:p w14:paraId="6A987086" w14:textId="5D28F6E8" w:rsidR="00E249B8" w:rsidRPr="003C0455" w:rsidRDefault="008775A9" w:rsidP="001B2C43">
            <w:pPr>
              <w:jc w:val="both"/>
              <w:rPr>
                <w:b/>
                <w:sz w:val="22"/>
                <w:szCs w:val="22"/>
              </w:rPr>
            </w:pPr>
            <w:r w:rsidRPr="003C0455">
              <w:rPr>
                <w:b/>
                <w:sz w:val="22"/>
                <w:szCs w:val="22"/>
              </w:rPr>
              <w:t>З 01 червня 2024</w:t>
            </w:r>
            <w:r w:rsidR="00E249B8" w:rsidRPr="003C0455">
              <w:rPr>
                <w:b/>
                <w:sz w:val="22"/>
                <w:szCs w:val="22"/>
              </w:rPr>
              <w:t xml:space="preserve"> року до </w:t>
            </w:r>
            <w:r w:rsidR="0008026E" w:rsidRPr="003C0455">
              <w:rPr>
                <w:b/>
                <w:sz w:val="22"/>
                <w:szCs w:val="22"/>
              </w:rPr>
              <w:t>3</w:t>
            </w:r>
            <w:r w:rsidR="003C0455">
              <w:rPr>
                <w:b/>
                <w:sz w:val="22"/>
                <w:szCs w:val="22"/>
              </w:rPr>
              <w:t>0</w:t>
            </w:r>
            <w:r w:rsidR="0008026E" w:rsidRPr="003C0455">
              <w:rPr>
                <w:b/>
                <w:sz w:val="22"/>
                <w:szCs w:val="22"/>
              </w:rPr>
              <w:t xml:space="preserve"> </w:t>
            </w:r>
            <w:r w:rsidR="003C0455">
              <w:rPr>
                <w:b/>
                <w:sz w:val="22"/>
                <w:szCs w:val="22"/>
              </w:rPr>
              <w:t>квітня</w:t>
            </w:r>
            <w:r w:rsidR="0008026E" w:rsidRPr="003C0455">
              <w:rPr>
                <w:b/>
                <w:sz w:val="22"/>
                <w:szCs w:val="22"/>
              </w:rPr>
              <w:t xml:space="preserve"> </w:t>
            </w:r>
            <w:r w:rsidR="00E249B8" w:rsidRPr="003C0455">
              <w:rPr>
                <w:b/>
                <w:sz w:val="22"/>
                <w:szCs w:val="22"/>
              </w:rPr>
              <w:t>202</w:t>
            </w:r>
            <w:r w:rsidR="003C0455">
              <w:rPr>
                <w:b/>
                <w:sz w:val="22"/>
                <w:szCs w:val="22"/>
              </w:rPr>
              <w:t>6</w:t>
            </w:r>
            <w:r w:rsidR="00E249B8" w:rsidRPr="003C0455">
              <w:rPr>
                <w:b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4"/>
              <w:gridCol w:w="1426"/>
              <w:gridCol w:w="1537"/>
              <w:gridCol w:w="1503"/>
            </w:tblGrid>
            <w:tr w:rsidR="00E249B8" w:rsidRPr="00FD1C4D" w14:paraId="727BD527" w14:textId="77777777" w:rsidTr="003C0455">
              <w:tc>
                <w:tcPr>
                  <w:tcW w:w="3104" w:type="dxa"/>
                  <w:vMerge w:val="restart"/>
                  <w:hideMark/>
                </w:tcPr>
                <w:p w14:paraId="2ABBED16" w14:textId="77777777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466" w:type="dxa"/>
                  <w:gridSpan w:val="3"/>
                  <w:hideMark/>
                </w:tcPr>
                <w:p w14:paraId="06833458" w14:textId="6D6795FF" w:rsidR="00E249B8" w:rsidRPr="00FD1C4D" w:rsidRDefault="00E952D4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FD1C4D" w14:paraId="064D75A1" w14:textId="77777777" w:rsidTr="003C0455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FD1C4D" w:rsidRDefault="00E249B8" w:rsidP="003C045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hideMark/>
                </w:tcPr>
                <w:p w14:paraId="77A70172" w14:textId="77777777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537" w:type="dxa"/>
                  <w:hideMark/>
                </w:tcPr>
                <w:p w14:paraId="5CEF65CD" w14:textId="77777777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503" w:type="dxa"/>
                  <w:hideMark/>
                </w:tcPr>
                <w:p w14:paraId="67215F2F" w14:textId="77777777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FD1C4D" w14:paraId="577AD484" w14:textId="77777777" w:rsidTr="003C0455">
              <w:tc>
                <w:tcPr>
                  <w:tcW w:w="3104" w:type="dxa"/>
                  <w:hideMark/>
                </w:tcPr>
                <w:p w14:paraId="64A65603" w14:textId="77777777" w:rsidR="00E249B8" w:rsidRPr="00FD1C4D" w:rsidRDefault="00E249B8" w:rsidP="003C0455">
                  <w:pPr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</w:t>
                  </w:r>
                  <w:r w:rsidRPr="00FD1C4D">
                    <w:rPr>
                      <w:sz w:val="22"/>
                      <w:szCs w:val="22"/>
                    </w:rPr>
                    <w:lastRenderedPageBreak/>
                    <w:t>(цілі споживання), які визначені в абзацах одинадцятому-чотирнадцятому пункту 13 розділу XVII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426" w:type="dxa"/>
                  <w:hideMark/>
                </w:tcPr>
                <w:p w14:paraId="5C3E9797" w14:textId="56928ED2" w:rsidR="00E249B8" w:rsidRPr="00FD1C4D" w:rsidRDefault="008775A9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lastRenderedPageBreak/>
                    <w:t>3,60</w:t>
                  </w:r>
                </w:p>
              </w:tc>
              <w:tc>
                <w:tcPr>
                  <w:tcW w:w="1537" w:type="dxa"/>
                  <w:hideMark/>
                </w:tcPr>
                <w:p w14:paraId="684A6846" w14:textId="6029FC0D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0,</w:t>
                  </w:r>
                  <w:r w:rsidR="008775A9" w:rsidRPr="00FD1C4D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503" w:type="dxa"/>
                  <w:hideMark/>
                </w:tcPr>
                <w:p w14:paraId="098F3F44" w14:textId="3E5F5A3B" w:rsidR="00E249B8" w:rsidRPr="00FD1C4D" w:rsidRDefault="008775A9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25A7834A" w14:textId="77777777" w:rsidR="00FD1C4D" w:rsidRPr="00FD1C4D" w:rsidRDefault="00E249B8" w:rsidP="003C0455">
            <w:pPr>
              <w:jc w:val="both"/>
            </w:pPr>
            <w:r w:rsidRPr="00FD1C4D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hyperlink r:id="rId7" w:history="1">
              <w:r w:rsidR="00FD1C4D" w:rsidRPr="00FD1C4D">
                <w:rPr>
                  <w:rStyle w:val="a5"/>
                  <w:sz w:val="22"/>
                  <w:szCs w:val="22"/>
                </w:rPr>
                <w:t>https://vin.enera.ua</w:t>
              </w:r>
            </w:hyperlink>
            <w:r w:rsidR="00FD1C4D" w:rsidRPr="00FD1C4D">
              <w:rPr>
                <w:sz w:val="22"/>
                <w:szCs w:val="22"/>
              </w:rPr>
              <w:t xml:space="preserve"> </w:t>
            </w:r>
          </w:p>
          <w:p w14:paraId="1528D398" w14:textId="2A449682" w:rsidR="00E249B8" w:rsidRPr="00FD1C4D" w:rsidRDefault="0099037B" w:rsidP="003C0455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Ціна згідно </w:t>
            </w:r>
            <w:r>
              <w:rPr>
                <w:sz w:val="22"/>
                <w:szCs w:val="22"/>
              </w:rPr>
              <w:t xml:space="preserve">з </w:t>
            </w:r>
            <w:r w:rsidRPr="000E260C">
              <w:rPr>
                <w:sz w:val="22"/>
                <w:szCs w:val="22"/>
              </w:rPr>
              <w:t>дано</w:t>
            </w:r>
            <w:r>
              <w:rPr>
                <w:sz w:val="22"/>
                <w:szCs w:val="22"/>
              </w:rPr>
              <w:t>ю</w:t>
            </w:r>
            <w:r w:rsidRPr="000E260C">
              <w:rPr>
                <w:sz w:val="22"/>
                <w:szCs w:val="22"/>
              </w:rPr>
              <w:t xml:space="preserve"> комерційн</w:t>
            </w:r>
            <w:r>
              <w:rPr>
                <w:sz w:val="22"/>
                <w:szCs w:val="22"/>
              </w:rPr>
              <w:t>ою</w:t>
            </w:r>
            <w:r w:rsidRPr="000E260C">
              <w:rPr>
                <w:sz w:val="22"/>
                <w:szCs w:val="22"/>
              </w:rPr>
              <w:t xml:space="preserve"> пропозиці</w:t>
            </w:r>
            <w:r>
              <w:rPr>
                <w:sz w:val="22"/>
                <w:szCs w:val="22"/>
              </w:rPr>
              <w:t>єю</w:t>
            </w:r>
            <w:r w:rsidRPr="000E260C">
              <w:rPr>
                <w:sz w:val="22"/>
                <w:szCs w:val="22"/>
              </w:rPr>
              <w:t xml:space="preserve"> може змінюватись </w:t>
            </w:r>
            <w:r>
              <w:rPr>
                <w:sz w:val="22"/>
                <w:szCs w:val="22"/>
              </w:rPr>
              <w:t>відповідно</w:t>
            </w:r>
            <w:r w:rsidRPr="000E260C">
              <w:rPr>
                <w:sz w:val="22"/>
                <w:szCs w:val="22"/>
              </w:rPr>
              <w:t xml:space="preserve"> до нормативно-правових актів, </w:t>
            </w:r>
            <w:r w:rsidRPr="00752928">
              <w:rPr>
                <w:sz w:val="22"/>
                <w:szCs w:val="22"/>
              </w:rPr>
              <w:t>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226129" w:rsidRPr="00FD1C4D" w14:paraId="105FF27F" w14:textId="77777777" w:rsidTr="003C0455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7796" w:type="dxa"/>
            <w:shd w:val="clear" w:color="auto" w:fill="auto"/>
          </w:tcPr>
          <w:p w14:paraId="2FF9773B" w14:textId="0922E250" w:rsidR="00226129" w:rsidRPr="00FD1C4D" w:rsidRDefault="00FD1C4D" w:rsidP="00226129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Вінницька </w:t>
            </w:r>
            <w:r w:rsidR="00226129" w:rsidRPr="00FD1C4D">
              <w:rPr>
                <w:sz w:val="22"/>
                <w:szCs w:val="22"/>
              </w:rPr>
              <w:t>область</w:t>
            </w:r>
          </w:p>
        </w:tc>
      </w:tr>
      <w:tr w:rsidR="00226129" w:rsidRPr="00FD1C4D" w14:paraId="301389CC" w14:textId="77777777" w:rsidTr="003C0455">
        <w:trPr>
          <w:trHeight w:val="322"/>
        </w:trPr>
        <w:tc>
          <w:tcPr>
            <w:tcW w:w="2694" w:type="dxa"/>
            <w:shd w:val="clear" w:color="auto" w:fill="auto"/>
          </w:tcPr>
          <w:p w14:paraId="4BE6A05E" w14:textId="5834ACA4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796" w:type="dxa"/>
            <w:shd w:val="clear" w:color="auto" w:fill="auto"/>
          </w:tcPr>
          <w:p w14:paraId="69A312C2" w14:textId="77777777" w:rsidR="00226129" w:rsidRPr="00FD1C4D" w:rsidRDefault="00226129" w:rsidP="00226129">
            <w:pPr>
              <w:rPr>
                <w:rFonts w:eastAsia="Calibri"/>
                <w:sz w:val="22"/>
                <w:szCs w:val="22"/>
              </w:rPr>
            </w:pPr>
            <w:r w:rsidRPr="00FD1C4D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FD1C4D" w14:paraId="254247FA" w14:textId="77777777" w:rsidTr="003C0455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7796" w:type="dxa"/>
            <w:shd w:val="clear" w:color="auto" w:fill="auto"/>
          </w:tcPr>
          <w:p w14:paraId="4E68CB0B" w14:textId="213AC610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</w:t>
            </w:r>
            <w:r w:rsidR="0008026E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нергію надається Постачальником </w:t>
            </w: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FD1C4D" w14:paraId="364FDE98" w14:textId="77777777" w:rsidTr="003C0455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7796" w:type="dxa"/>
            <w:shd w:val="clear" w:color="auto" w:fill="auto"/>
          </w:tcPr>
          <w:p w14:paraId="1C745790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FD1C4D" w14:paraId="7AB6EE30" w14:textId="77777777" w:rsidTr="003C0455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FD1C4D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796" w:type="dxa"/>
            <w:shd w:val="clear" w:color="auto" w:fill="auto"/>
          </w:tcPr>
          <w:p w14:paraId="7C4B9598" w14:textId="33B499D3" w:rsidR="00545552" w:rsidRPr="00FD1C4D" w:rsidRDefault="00545552" w:rsidP="00847F94">
            <w:pPr>
              <w:rPr>
                <w:rFonts w:eastAsia="Calibri"/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FD1C4D" w14:paraId="404F2532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796" w:type="dxa"/>
            <w:shd w:val="clear" w:color="auto" w:fill="auto"/>
          </w:tcPr>
          <w:p w14:paraId="68CA9F53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FD1C4D" w14:paraId="20821E0F" w14:textId="77777777" w:rsidTr="003C0455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7796" w:type="dxa"/>
            <w:shd w:val="clear" w:color="auto" w:fill="auto"/>
          </w:tcPr>
          <w:p w14:paraId="7AD6E0FC" w14:textId="77777777" w:rsidR="00226129" w:rsidRPr="00FD1C4D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226129" w:rsidRPr="00FD1C4D" w14:paraId="0F8488D5" w14:textId="77777777" w:rsidTr="003C0455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796" w:type="dxa"/>
            <w:shd w:val="clear" w:color="auto" w:fill="auto"/>
          </w:tcPr>
          <w:p w14:paraId="1FC2CECE" w14:textId="77777777" w:rsidR="00226129" w:rsidRPr="00FD1C4D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FD1C4D" w14:paraId="0012C629" w14:textId="77777777" w:rsidTr="003C0455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80DE68E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Строк дії Договору та умови пролонгації</w:t>
            </w:r>
          </w:p>
        </w:tc>
        <w:tc>
          <w:tcPr>
            <w:tcW w:w="7796" w:type="dxa"/>
            <w:shd w:val="clear" w:color="auto" w:fill="auto"/>
          </w:tcPr>
          <w:p w14:paraId="1CDD083D" w14:textId="4994DA54" w:rsidR="00E249B8" w:rsidRPr="00FD1C4D" w:rsidRDefault="00545552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FD1C4D">
              <w:rPr>
                <w:rFonts w:eastAsia="Calibri"/>
                <w:sz w:val="22"/>
                <w:szCs w:val="22"/>
              </w:rPr>
              <w:t xml:space="preserve">до «_____»  ______________20         </w:t>
            </w:r>
            <w:r w:rsidR="00E249B8" w:rsidRPr="00FD1C4D">
              <w:rPr>
                <w:rFonts w:eastAsia="Calibri"/>
                <w:sz w:val="22"/>
                <w:szCs w:val="22"/>
              </w:rPr>
              <w:t xml:space="preserve"> року. Договір вважається продовженим на кожний наступний календарний рік, якщо за місяць до закінчення терміну дії Договору жодною із Сторін не буде заявлено про припинення його дії або перегляд його умов.</w:t>
            </w:r>
          </w:p>
          <w:p w14:paraId="6691BD29" w14:textId="09ADFA2C" w:rsidR="00E249B8" w:rsidRPr="00FD1C4D" w:rsidRDefault="00E249B8" w:rsidP="001B2C43">
            <w:pPr>
              <w:jc w:val="both"/>
              <w:rPr>
                <w:rFonts w:eastAsia="Calibri"/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 w:rsidRPr="00FD1C4D">
              <w:rPr>
                <w:b/>
                <w:sz w:val="22"/>
                <w:szCs w:val="22"/>
              </w:rPr>
              <w:t xml:space="preserve">з </w:t>
            </w:r>
            <w:r w:rsidR="001B2C43" w:rsidRPr="00FD1C4D">
              <w:rPr>
                <w:b/>
                <w:sz w:val="22"/>
                <w:szCs w:val="22"/>
              </w:rPr>
              <w:t>_______________</w:t>
            </w:r>
            <w:r w:rsidRPr="00FD1C4D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E249B8" w:rsidRPr="00FD1C4D" w14:paraId="3490A24F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7796" w:type="dxa"/>
            <w:shd w:val="clear" w:color="auto" w:fill="auto"/>
          </w:tcPr>
          <w:p w14:paraId="5F3FFB18" w14:textId="77777777" w:rsidR="00E249B8" w:rsidRPr="00FD1C4D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FD1C4D" w14:paraId="59103D6B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FD1C4D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796" w:type="dxa"/>
            <w:shd w:val="clear" w:color="auto" w:fill="auto"/>
          </w:tcPr>
          <w:p w14:paraId="061B1C10" w14:textId="23B2A6E1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3C0455">
              <w:rPr>
                <w:sz w:val="22"/>
                <w:szCs w:val="22"/>
              </w:rPr>
              <w:t>п</w:t>
            </w:r>
            <w:r w:rsidRPr="00FD1C4D">
              <w:rPr>
                <w:sz w:val="22"/>
                <w:szCs w:val="22"/>
              </w:rPr>
              <w:t>остановою Кабінету Міністрів України від 27.12.2018 № 1209 зі змінами</w:t>
            </w:r>
            <w:r w:rsidR="003C0455">
              <w:rPr>
                <w:sz w:val="22"/>
                <w:szCs w:val="22"/>
              </w:rPr>
              <w:t>.</w:t>
            </w:r>
          </w:p>
        </w:tc>
      </w:tr>
      <w:tr w:rsidR="00E249B8" w:rsidRPr="00FD1C4D" w14:paraId="6D85D407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FD1C4D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796" w:type="dxa"/>
            <w:shd w:val="clear" w:color="auto" w:fill="auto"/>
          </w:tcPr>
          <w:p w14:paraId="30172775" w14:textId="77777777" w:rsidR="00E249B8" w:rsidRPr="00FD1C4D" w:rsidRDefault="00E249B8" w:rsidP="003C0455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FD1C4D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FD1C4D" w:rsidRDefault="00E249B8" w:rsidP="003C0455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FD1C4D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FD1C4D" w:rsidRDefault="00E249B8" w:rsidP="003C045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FD1C4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FD1C4D">
              <w:rPr>
                <w:color w:val="000000"/>
                <w:sz w:val="22"/>
                <w:szCs w:val="22"/>
              </w:rPr>
              <w:t xml:space="preserve"> </w:t>
            </w:r>
            <w:r w:rsidRPr="00FD1C4D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FD1C4D">
              <w:rPr>
                <w:sz w:val="22"/>
                <w:szCs w:val="22"/>
              </w:rPr>
              <w:t>.</w:t>
            </w:r>
          </w:p>
          <w:p w14:paraId="74A90156" w14:textId="77777777" w:rsidR="00E249B8" w:rsidRPr="00FD1C4D" w:rsidRDefault="00E249B8" w:rsidP="003C0455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FD1C4D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FD1C4D" w:rsidRDefault="00E249B8" w:rsidP="003C0455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FD1C4D" w:rsidRDefault="00E249B8" w:rsidP="003C0455">
            <w:pPr>
              <w:jc w:val="both"/>
              <w:rPr>
                <w:color w:val="000000"/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FD1C4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FD1C4D" w14:paraId="7E4D9216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796" w:type="dxa"/>
            <w:shd w:val="clear" w:color="auto" w:fill="auto"/>
          </w:tcPr>
          <w:p w14:paraId="7B7E0E52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D87A8BF" w:rsidR="00E249B8" w:rsidRPr="003C0455" w:rsidRDefault="00E249B8" w:rsidP="003C0455">
            <w:pPr>
              <w:pStyle w:val="a8"/>
              <w:numPr>
                <w:ilvl w:val="0"/>
                <w:numId w:val="3"/>
              </w:numPr>
              <w:ind w:left="596" w:hanging="425"/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через особистий кабінет на своєму офіційному сайті у мережі Інтернет</w:t>
            </w:r>
            <w:r w:rsidR="003C0455">
              <w:rPr>
                <w:sz w:val="22"/>
                <w:szCs w:val="22"/>
              </w:rPr>
              <w:t>;</w:t>
            </w:r>
          </w:p>
          <w:p w14:paraId="2D423C8A" w14:textId="43613FCA" w:rsidR="00E249B8" w:rsidRPr="003C0455" w:rsidRDefault="00E249B8" w:rsidP="003C0455">
            <w:pPr>
              <w:pStyle w:val="a8"/>
              <w:numPr>
                <w:ilvl w:val="0"/>
                <w:numId w:val="4"/>
              </w:numPr>
              <w:ind w:left="596" w:hanging="425"/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засобами електронного зв'язку на електронну адресу, вказану у заяві-приєднання до умов договору</w:t>
            </w:r>
            <w:r w:rsidR="003C0455">
              <w:rPr>
                <w:sz w:val="22"/>
                <w:szCs w:val="22"/>
              </w:rPr>
              <w:t xml:space="preserve">; </w:t>
            </w:r>
          </w:p>
          <w:p w14:paraId="61195432" w14:textId="04D90D8A" w:rsidR="00E249B8" w:rsidRPr="003C0455" w:rsidRDefault="00E249B8" w:rsidP="003C0455">
            <w:pPr>
              <w:pStyle w:val="a8"/>
              <w:numPr>
                <w:ilvl w:val="0"/>
                <w:numId w:val="4"/>
              </w:numPr>
              <w:ind w:left="596" w:hanging="425"/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на поштову адресу місця реєстрації</w:t>
            </w:r>
            <w:r w:rsidR="003C0455">
              <w:rPr>
                <w:sz w:val="22"/>
                <w:szCs w:val="22"/>
              </w:rPr>
              <w:t>;</w:t>
            </w:r>
          </w:p>
          <w:p w14:paraId="23BFE8BE" w14:textId="6B251D54" w:rsidR="00E249B8" w:rsidRPr="003C0455" w:rsidRDefault="00E249B8" w:rsidP="003C0455">
            <w:pPr>
              <w:pStyle w:val="a8"/>
              <w:numPr>
                <w:ilvl w:val="0"/>
                <w:numId w:val="4"/>
              </w:numPr>
              <w:ind w:left="596" w:hanging="425"/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СМС-повідомленням на номер, зазначений у заяві-приєднання до умов договору</w:t>
            </w:r>
            <w:r w:rsidR="003C0455">
              <w:rPr>
                <w:sz w:val="22"/>
                <w:szCs w:val="22"/>
              </w:rPr>
              <w:t>;</w:t>
            </w:r>
          </w:p>
          <w:p w14:paraId="14508E0D" w14:textId="63616126" w:rsidR="00E249B8" w:rsidRPr="003C0455" w:rsidRDefault="003C0455" w:rsidP="003C0455">
            <w:pPr>
              <w:pStyle w:val="a8"/>
              <w:numPr>
                <w:ilvl w:val="0"/>
                <w:numId w:val="4"/>
              </w:numPr>
              <w:ind w:left="596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E249B8" w:rsidRPr="003C0455">
              <w:rPr>
                <w:sz w:val="22"/>
                <w:szCs w:val="22"/>
              </w:rPr>
              <w:t xml:space="preserve"> центрах обслуговування споживачів.</w:t>
            </w:r>
          </w:p>
          <w:p w14:paraId="71665812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FD1C4D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3CD4770" w14:textId="77777777" w:rsidR="00226129" w:rsidRPr="00FD1C4D" w:rsidRDefault="00226129" w:rsidP="00226129">
      <w:r w:rsidRPr="00FD1C4D">
        <w:t>Постачальник:</w:t>
      </w:r>
    </w:p>
    <w:p w14:paraId="23629A45" w14:textId="269C9725" w:rsidR="00FD2CD4" w:rsidRPr="00FD1C4D" w:rsidRDefault="00226129" w:rsidP="00E249B8">
      <w:r w:rsidRPr="00FD1C4D">
        <w:t xml:space="preserve">ТОВ «ЕНЕРА </w:t>
      </w:r>
      <w:r w:rsidR="00FD1C4D">
        <w:t>ВІННИЦЯ</w:t>
      </w:r>
      <w:r w:rsidRPr="00FD1C4D">
        <w:t>»</w:t>
      </w:r>
    </w:p>
    <w:sectPr w:rsidR="00FD2CD4" w:rsidRPr="00FD1C4D" w:rsidSect="003C0455">
      <w:headerReference w:type="default" r:id="rId8"/>
      <w:pgSz w:w="12240" w:h="15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6E87" w14:textId="77777777" w:rsidR="00A8202B" w:rsidRDefault="00A8202B" w:rsidP="003C0455">
      <w:r>
        <w:separator/>
      </w:r>
    </w:p>
  </w:endnote>
  <w:endnote w:type="continuationSeparator" w:id="0">
    <w:p w14:paraId="399FC2A9" w14:textId="77777777" w:rsidR="00A8202B" w:rsidRDefault="00A8202B" w:rsidP="003C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6B79" w14:textId="77777777" w:rsidR="00A8202B" w:rsidRDefault="00A8202B" w:rsidP="003C0455">
      <w:r>
        <w:separator/>
      </w:r>
    </w:p>
  </w:footnote>
  <w:footnote w:type="continuationSeparator" w:id="0">
    <w:p w14:paraId="497861F0" w14:textId="77777777" w:rsidR="00A8202B" w:rsidRDefault="00A8202B" w:rsidP="003C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3760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7414B4" w14:textId="405A25DF" w:rsidR="003C0455" w:rsidRPr="003C0455" w:rsidRDefault="003C0455">
        <w:pPr>
          <w:pStyle w:val="a9"/>
          <w:jc w:val="center"/>
          <w:rPr>
            <w:sz w:val="20"/>
            <w:szCs w:val="20"/>
          </w:rPr>
        </w:pPr>
        <w:r w:rsidRPr="003C0455">
          <w:rPr>
            <w:sz w:val="20"/>
            <w:szCs w:val="20"/>
          </w:rPr>
          <w:fldChar w:fldCharType="begin"/>
        </w:r>
        <w:r w:rsidRPr="003C0455">
          <w:rPr>
            <w:sz w:val="20"/>
            <w:szCs w:val="20"/>
          </w:rPr>
          <w:instrText>PAGE   \* MERGEFORMAT</w:instrText>
        </w:r>
        <w:r w:rsidRPr="003C0455">
          <w:rPr>
            <w:sz w:val="20"/>
            <w:szCs w:val="20"/>
          </w:rPr>
          <w:fldChar w:fldCharType="separate"/>
        </w:r>
        <w:r w:rsidRPr="003C0455">
          <w:rPr>
            <w:sz w:val="20"/>
            <w:szCs w:val="20"/>
          </w:rPr>
          <w:t>2</w:t>
        </w:r>
        <w:r w:rsidRPr="003C0455">
          <w:rPr>
            <w:sz w:val="20"/>
            <w:szCs w:val="20"/>
          </w:rPr>
          <w:fldChar w:fldCharType="end"/>
        </w:r>
      </w:p>
    </w:sdtContent>
  </w:sdt>
  <w:p w14:paraId="70AC1572" w14:textId="77777777" w:rsidR="003C0455" w:rsidRDefault="003C04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2D14"/>
    <w:multiLevelType w:val="hybridMultilevel"/>
    <w:tmpl w:val="122801E4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2C77"/>
    <w:multiLevelType w:val="hybridMultilevel"/>
    <w:tmpl w:val="261A089C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106B"/>
    <w:multiLevelType w:val="hybridMultilevel"/>
    <w:tmpl w:val="8FB225CA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E4D46"/>
    <w:multiLevelType w:val="hybridMultilevel"/>
    <w:tmpl w:val="6A909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8454">
    <w:abstractNumId w:val="3"/>
  </w:num>
  <w:num w:numId="2" w16cid:durableId="1366903295">
    <w:abstractNumId w:val="2"/>
  </w:num>
  <w:num w:numId="3" w16cid:durableId="692805955">
    <w:abstractNumId w:val="1"/>
  </w:num>
  <w:num w:numId="4" w16cid:durableId="104518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41649"/>
    <w:rsid w:val="0008026E"/>
    <w:rsid w:val="000C1481"/>
    <w:rsid w:val="001319C0"/>
    <w:rsid w:val="00133A3F"/>
    <w:rsid w:val="001A19C6"/>
    <w:rsid w:val="001B2C43"/>
    <w:rsid w:val="001E708E"/>
    <w:rsid w:val="0020329F"/>
    <w:rsid w:val="00226129"/>
    <w:rsid w:val="002E48D9"/>
    <w:rsid w:val="003408FF"/>
    <w:rsid w:val="0037686D"/>
    <w:rsid w:val="003B0EE6"/>
    <w:rsid w:val="003C0455"/>
    <w:rsid w:val="00493544"/>
    <w:rsid w:val="004D4E7A"/>
    <w:rsid w:val="00545552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7E73DA"/>
    <w:rsid w:val="0080599D"/>
    <w:rsid w:val="008775A9"/>
    <w:rsid w:val="00945F7E"/>
    <w:rsid w:val="0099037B"/>
    <w:rsid w:val="00A14402"/>
    <w:rsid w:val="00A8202B"/>
    <w:rsid w:val="00A92E7E"/>
    <w:rsid w:val="00AD4B9D"/>
    <w:rsid w:val="00B8035C"/>
    <w:rsid w:val="00B95462"/>
    <w:rsid w:val="00C07013"/>
    <w:rsid w:val="00C63440"/>
    <w:rsid w:val="00CE315B"/>
    <w:rsid w:val="00D31B8D"/>
    <w:rsid w:val="00D91819"/>
    <w:rsid w:val="00D9182C"/>
    <w:rsid w:val="00D9387D"/>
    <w:rsid w:val="00E04748"/>
    <w:rsid w:val="00E126F7"/>
    <w:rsid w:val="00E249B8"/>
    <w:rsid w:val="00E952D4"/>
    <w:rsid w:val="00FD1C4D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F93FE7D0-DF3E-4296-A272-CD819D6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Revision"/>
    <w:hidden/>
    <w:uiPriority w:val="99"/>
    <w:semiHidden/>
    <w:rsid w:val="00FD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D1C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181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1819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List Paragraph"/>
    <w:basedOn w:val="a"/>
    <w:uiPriority w:val="34"/>
    <w:qFormat/>
    <w:rsid w:val="003C045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045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C045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3C0455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C045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n.enera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5521</Words>
  <Characters>3148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Гордіченко Іванна Олексіївна</cp:lastModifiedBy>
  <cp:revision>7</cp:revision>
  <dcterms:created xsi:type="dcterms:W3CDTF">2025-05-01T06:19:00Z</dcterms:created>
  <dcterms:modified xsi:type="dcterms:W3CDTF">2025-10-28T08:41:00Z</dcterms:modified>
</cp:coreProperties>
</file>