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42" w:rsidRPr="00744142" w:rsidRDefault="00744142" w:rsidP="00744142">
      <w:pPr>
        <w:keepNext/>
        <w:keepLines/>
        <w:spacing w:before="200" w:after="0" w:line="240" w:lineRule="auto"/>
        <w:contextualSpacing/>
        <w:mirrorIndents/>
        <w:jc w:val="center"/>
        <w:outlineLvl w:val="1"/>
        <w:rPr>
          <w:rFonts w:ascii="Times New Roman" w:eastAsiaTheme="majorEastAsia" w:hAnsi="Times New Roman" w:cs="Times New Roman"/>
          <w:bCs/>
          <w:color w:val="5B9BD5" w:themeColor="accent1"/>
          <w:sz w:val="26"/>
          <w:szCs w:val="26"/>
          <w:lang w:val="uk-UA" w:eastAsia="uk-UA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                </w:t>
      </w:r>
      <w:bookmarkStart w:id="0" w:name="_GoBack"/>
      <w:bookmarkEnd w:id="0"/>
      <w:r w:rsidRPr="00744142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val="uk-UA" w:eastAsia="uk-UA"/>
        </w:rPr>
        <w:t>Додаток № 2</w:t>
      </w:r>
    </w:p>
    <w:p w:rsidR="00744142" w:rsidRPr="00744142" w:rsidRDefault="00744142" w:rsidP="00744142">
      <w:pPr>
        <w:tabs>
          <w:tab w:val="left" w:pos="169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744142">
        <w:rPr>
          <w:rFonts w:ascii="Times New Roman" w:eastAsia="Times New Roman" w:hAnsi="Times New Roman" w:cs="Times New Roman"/>
          <w:lang w:val="uk-UA" w:eastAsia="uk-UA"/>
        </w:rPr>
        <w:t xml:space="preserve">                                                                до Договору про постачання електричної </w:t>
      </w:r>
    </w:p>
    <w:p w:rsidR="00744142" w:rsidRPr="00744142" w:rsidRDefault="00744142" w:rsidP="00744142">
      <w:pPr>
        <w:tabs>
          <w:tab w:val="left" w:pos="169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744142">
        <w:rPr>
          <w:rFonts w:ascii="Times New Roman" w:eastAsia="Times New Roman" w:hAnsi="Times New Roman" w:cs="Times New Roman"/>
          <w:lang w:val="uk-UA" w:eastAsia="uk-UA"/>
        </w:rPr>
        <w:t xml:space="preserve">                                                                         енергії постачальником універсальних послуг</w:t>
      </w:r>
    </w:p>
    <w:p w:rsidR="00744142" w:rsidRPr="00744142" w:rsidRDefault="00744142" w:rsidP="00744142">
      <w:pPr>
        <w:tabs>
          <w:tab w:val="left" w:pos="1695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lang w:val="uk-UA" w:eastAsia="uk-UA"/>
        </w:rPr>
      </w:pPr>
      <w:r w:rsidRPr="00744142">
        <w:rPr>
          <w:rFonts w:ascii="Times New Roman" w:eastAsia="Times New Roman" w:hAnsi="Times New Roman" w:cs="Times New Roman"/>
          <w:lang w:val="uk-UA" w:eastAsia="uk-UA"/>
        </w:rPr>
        <w:tab/>
      </w:r>
      <w:r w:rsidRPr="00744142">
        <w:rPr>
          <w:rFonts w:ascii="Times New Roman" w:eastAsia="Times New Roman" w:hAnsi="Times New Roman" w:cs="Times New Roman"/>
          <w:lang w:val="uk-UA" w:eastAsia="uk-UA"/>
        </w:rPr>
        <w:tab/>
      </w:r>
      <w:r w:rsidRPr="00744142">
        <w:rPr>
          <w:rFonts w:ascii="Times New Roman" w:eastAsia="Times New Roman" w:hAnsi="Times New Roman" w:cs="Times New Roman"/>
          <w:lang w:val="uk-UA" w:eastAsia="uk-UA"/>
        </w:rPr>
        <w:tab/>
      </w:r>
      <w:r w:rsidRPr="00744142">
        <w:rPr>
          <w:rFonts w:ascii="Times New Roman" w:eastAsia="Times New Roman" w:hAnsi="Times New Roman" w:cs="Times New Roman"/>
          <w:lang w:val="uk-UA" w:eastAsia="uk-UA"/>
        </w:rPr>
        <w:tab/>
      </w:r>
      <w:r w:rsidRPr="00744142">
        <w:rPr>
          <w:rFonts w:ascii="Times New Roman" w:eastAsia="Times New Roman" w:hAnsi="Times New Roman" w:cs="Times New Roman"/>
          <w:lang w:val="uk-UA" w:eastAsia="uk-UA"/>
        </w:rPr>
        <w:tab/>
        <w:t xml:space="preserve">         </w:t>
      </w:r>
    </w:p>
    <w:p w:rsidR="00744142" w:rsidRPr="00744142" w:rsidRDefault="00744142" w:rsidP="00744142">
      <w:pPr>
        <w:tabs>
          <w:tab w:val="left" w:pos="169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744142">
        <w:rPr>
          <w:rFonts w:ascii="Times New Roman" w:eastAsia="Times New Roman" w:hAnsi="Times New Roman" w:cs="Times New Roman"/>
          <w:b/>
          <w:lang w:val="uk-UA" w:eastAsia="uk-UA"/>
        </w:rPr>
        <w:t>КОМЕРЦІЙНА ПРОПОЗИЦІЯ № 1</w:t>
      </w:r>
    </w:p>
    <w:p w:rsidR="00744142" w:rsidRPr="00744142" w:rsidRDefault="00744142" w:rsidP="00744142">
      <w:pPr>
        <w:tabs>
          <w:tab w:val="left" w:pos="1695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lang w:val="uk-UA" w:eastAsia="uk-UA"/>
        </w:rPr>
      </w:pPr>
    </w:p>
    <w:p w:rsidR="00744142" w:rsidRPr="00744142" w:rsidRDefault="00744142" w:rsidP="00744142">
      <w:pPr>
        <w:tabs>
          <w:tab w:val="left" w:pos="1695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744142">
        <w:rPr>
          <w:rFonts w:ascii="Times New Roman" w:eastAsia="Times New Roman" w:hAnsi="Times New Roman" w:cs="Times New Roman"/>
          <w:b/>
          <w:color w:val="000000"/>
          <w:u w:val="single"/>
          <w:lang w:val="uk-UA" w:eastAsia="uk-UA"/>
        </w:rPr>
        <w:t>ТОВАРИСТВО З ОБМЕЖЕНОЮ ВІДПОВІДАЛЬНІСТЮ «ЕНЕРА ВІННИЦЯ»</w:t>
      </w:r>
      <w:r w:rsidRPr="00744142">
        <w:rPr>
          <w:rFonts w:ascii="Times New Roman" w:eastAsia="Times New Roman" w:hAnsi="Times New Roman" w:cs="Times New Roman"/>
          <w:color w:val="000000"/>
          <w:u w:val="single"/>
          <w:lang w:val="uk-UA" w:eastAsia="uk-UA"/>
        </w:rPr>
        <w:t xml:space="preserve">, </w:t>
      </w:r>
      <w:r w:rsidRPr="00744142">
        <w:rPr>
          <w:rFonts w:ascii="Times New Roman" w:eastAsia="Times New Roman" w:hAnsi="Times New Roman" w:cs="Times New Roman"/>
          <w:color w:val="000000"/>
          <w:lang w:val="uk-UA" w:eastAsia="uk-UA"/>
        </w:rPr>
        <w:t>що діє на підставі ліцензії, виданої згідно Постанови Національної комісії, що здійснює державне регулювання у сферах енергетики та комунальних послуг від 14 червня 2018 року № 429, пропонує розглянути наступну комерційну пропозицію.</w:t>
      </w:r>
    </w:p>
    <w:p w:rsidR="00744142" w:rsidRPr="00744142" w:rsidRDefault="00744142" w:rsidP="00744142">
      <w:pPr>
        <w:tabs>
          <w:tab w:val="left" w:pos="1695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lang w:val="uk-UA" w:eastAsia="uk-UA"/>
        </w:rPr>
      </w:pPr>
    </w:p>
    <w:p w:rsidR="00744142" w:rsidRPr="00744142" w:rsidRDefault="00744142" w:rsidP="00744142">
      <w:pPr>
        <w:tabs>
          <w:tab w:val="left" w:pos="1695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lang w:val="uk-UA" w:eastAsia="uk-UA"/>
        </w:rPr>
      </w:pPr>
      <w:r w:rsidRPr="00744142">
        <w:rPr>
          <w:rFonts w:ascii="Times New Roman" w:eastAsia="Times New Roman" w:hAnsi="Times New Roman" w:cs="Times New Roman"/>
          <w:b/>
          <w:u w:val="single"/>
          <w:lang w:val="uk-UA" w:eastAsia="uk-UA"/>
        </w:rPr>
        <w:t>Предмет комерційної пропозиції</w:t>
      </w:r>
      <w:r w:rsidRPr="00744142">
        <w:rPr>
          <w:rFonts w:ascii="Times New Roman" w:eastAsia="Times New Roman" w:hAnsi="Times New Roman" w:cs="Times New Roman"/>
          <w:lang w:val="uk-UA" w:eastAsia="uk-UA"/>
        </w:rPr>
        <w:t>: Постачання електричної енергії як товарної продукції.</w:t>
      </w:r>
    </w:p>
    <w:p w:rsidR="00744142" w:rsidRPr="00744142" w:rsidRDefault="00744142" w:rsidP="00744142">
      <w:pPr>
        <w:tabs>
          <w:tab w:val="left" w:pos="1695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492"/>
      </w:tblGrid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Умова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Пропозиція</w:t>
            </w: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-малі непобутові споживачі, електроустановки яких приєднані до електричних мереж з договірною потужністю до 50 кВт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Ціна (тариф) електричної енергії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Постачання електричної енергії здійснюється за регульованим цінами (тарифами) на електроенергію, що визначаються відповідно до методики (порядку), затвердженої Регулятором, та включають, в тому числі, витрати на розподіл електричної енергії.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Ціна на універсальні послуги для споживачів, </w:t>
            </w:r>
            <w:r w:rsidRPr="0074414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електроустановки яких приєднані до мереж АТ "ВІННИЦЯОБЛЕНЕРГО"</w:t>
            </w: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згідно з класом напруги, на </w:t>
            </w:r>
            <w:r w:rsidRPr="0074414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серпень</w:t>
            </w:r>
            <w:r w:rsidRPr="0074414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2022 року становить: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І клас – 3, 11254 грн/кВт*год (без ПДВ);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ІІ клас – 4, 17033 грн/кВт*год (без ПДВ).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Ціна на універсальні послуги для малих непобутових споживачів, </w:t>
            </w:r>
            <w:r w:rsidRPr="0074414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електроустановки яких приєднані до мереж АТ "Укрзалізниця"</w:t>
            </w: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згідно з класом напруги, </w:t>
            </w:r>
            <w:r w:rsidRPr="0074414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на серпень 2022 року становить: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І клас – 3, 10767 грн/кВт*год (без ПДВ);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ІІ клас – 3, 80266 грн/кВт*год (без ПДВ)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Додаткова інформація щодо розмірів та порядку застосування тарифів для населення розміщуються на офіційних сайтах відповідних органів державної влади, а також на офіційному сайті Постачальника: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http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lang w:eastAsia="uk-UA"/>
              </w:rPr>
              <w:t>://</w:t>
            </w:r>
            <w:r w:rsidRPr="00744142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n</w:t>
            </w:r>
            <w:r w:rsidRPr="0074414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enera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ua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lang w:eastAsia="uk-UA"/>
              </w:rPr>
              <w:t xml:space="preserve">/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Ціна згідно даної комерційної пропозиції може змінюватись у відповідності до нормативно-правових актів, прийнятих та затверджених уповноваженими на це суб’єктами владних повноважень (органами державної влади) у визначеній формі та за встановленою процедурою. У разі зміни ціни Сторони здійснюють розрахунки за новими цінами з дня їх введення в дію.</w:t>
            </w: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Територія здійснення діяльності оператора системи розподілу, доступ до якої має </w:t>
            </w:r>
            <w:proofErr w:type="spellStart"/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електропостачальник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Вінницька область</w:t>
            </w: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Спосіб оплати 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Оплата електричної енергії здійснюється споживачем у формі попередньої оплати з остаточним розрахунком, що проводиться за фактично відпущену електричну енергію згідно з даними комерційного обліку.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Попередня оплата здійснюється за 5 днів до початку розрахункового періоду у розмірі повної вартості заявленого обсягу споживання електричної енергії на відповідний розрахунковий період.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Термін надання рахунку за спожиту електричну енергію (дата)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Рахунок надається Споживачу не пізніше десятого робочого дня місяця, наступного за розрахунковим. </w:t>
            </w: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Строк оплати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Протягом 5 робочих днів від дати отримання рахунка</w:t>
            </w: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lastRenderedPageBreak/>
              <w:t>Спосіб оплати послуг з розподілу електричної енергії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lang w:eastAsia="uk-UA"/>
              </w:rPr>
            </w:pPr>
            <w:r w:rsidRPr="00744142">
              <w:rPr>
                <w:rFonts w:ascii="Times New Roman" w:eastAsia="Calibri" w:hAnsi="Times New Roman" w:cs="Times New Roman"/>
                <w:lang w:val="uk-UA" w:eastAsia="uk-UA"/>
              </w:rPr>
              <w:t>Ч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ерез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Постачальника з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наступним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переведенням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цієї оплати оператору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системи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розподілу</w:t>
            </w:r>
            <w:proofErr w:type="spellEnd"/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Розмір пені за порушення строку оплати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Розмір компенсації Споживачу за недодержання Постачальником якості надання комерційних послуг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За недотримання Постачальником комерційної якості надання послуг Споживачу надається компенсація в обсягах та у порядку, затверджених Регулятором. </w:t>
            </w:r>
          </w:p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повідомлення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Постачальника, або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повідомлення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порушенням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строків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встановлених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Правилами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роздрібного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ринку електричної енергії,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затверджених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Постановою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НКРЕКП № 312 від 14.03.2018, про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дострокове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припинення (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розірвання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договору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споживачем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Споживач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штраф у розмірі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вартості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електричної енергії,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заявленої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прогнозований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обсяг споживання, в місяці, в якому було подано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повідомлення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дострокове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припинення дії договору, або, у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повідомлення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</w:t>
            </w:r>
            <w:proofErr w:type="spellStart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останньому</w:t>
            </w:r>
            <w:proofErr w:type="spellEnd"/>
            <w:r w:rsidRPr="00744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місяці постачання.</w:t>
            </w: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Термін дії Договору та умови пролонгації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до 31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грудня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20__</w:t>
            </w:r>
            <w:proofErr w:type="gram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_  року</w:t>
            </w:r>
            <w:proofErr w:type="gram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proofErr w:type="gram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Договір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вважається</w:t>
            </w:r>
            <w:proofErr w:type="spellEnd"/>
            <w:proofErr w:type="gram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продовженим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 на 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кожний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наступний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календарний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 рік, 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якщо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 за 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місяць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до закінчення терміну дії Договору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жодною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із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Сторін</w:t>
            </w:r>
            <w:proofErr w:type="spellEnd"/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 не буде  заявлено про припинення його дії або перегляд його умов.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Керуючись ч. 3 ст. 631 Цивільного кодексу України,  Сторони домовились, що умови даного Договору  застосовуються до відносин між Сторонами, які виникли до  укладання Договору, </w:t>
            </w:r>
            <w:r w:rsidRPr="0074414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 «___»_______________20____ року.</w:t>
            </w: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Можливість надання пільг, субсидій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744142">
              <w:rPr>
                <w:rFonts w:ascii="Times New Roman" w:eastAsia="Calibri" w:hAnsi="Times New Roman" w:cs="Times New Roman"/>
                <w:lang w:eastAsia="uk-UA"/>
              </w:rPr>
              <w:t xml:space="preserve">Не </w:t>
            </w:r>
            <w:proofErr w:type="spellStart"/>
            <w:r w:rsidRPr="00744142">
              <w:rPr>
                <w:rFonts w:ascii="Times New Roman" w:eastAsia="Calibri" w:hAnsi="Times New Roman" w:cs="Times New Roman"/>
                <w:lang w:eastAsia="uk-UA"/>
              </w:rPr>
              <w:t>надаються</w:t>
            </w:r>
            <w:proofErr w:type="spellEnd"/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41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Можливість постачання захищеним споживачам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Постачання електричної енергії здійснюється відповідно до Порядку забезпечення постачання електричної енергії захищеним споживачам, затвердженого Постановою Кабінету Міністрів України від 27.12.2018 № 1209 зі змінами</w:t>
            </w:r>
          </w:p>
        </w:tc>
      </w:tr>
      <w:tr w:rsidR="00744142" w:rsidRPr="00744142" w:rsidTr="00313EB9">
        <w:tc>
          <w:tcPr>
            <w:tcW w:w="3289" w:type="dxa"/>
            <w:shd w:val="clear" w:color="auto" w:fill="auto"/>
          </w:tcPr>
          <w:p w:rsidR="00744142" w:rsidRPr="00744142" w:rsidRDefault="00744142" w:rsidP="0074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highlight w:val="green"/>
                <w:lang w:val="uk-UA" w:eastAsia="ru-RU"/>
              </w:rPr>
            </w:pPr>
            <w:r w:rsidRPr="007441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умови</w:t>
            </w:r>
          </w:p>
        </w:tc>
        <w:tc>
          <w:tcPr>
            <w:tcW w:w="6492" w:type="dxa"/>
            <w:shd w:val="clear" w:color="auto" w:fill="auto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- через особистий кабінет на своєму офіційному сайті у мережі Інтернет,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-засобами електронного зв'язку на електронну адресу, вказану у заяві-приєднання до умов договору,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на поштову адресу місця реєстрації юридичної особи,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-СМС-повідомленням на номер, зазначений у заяві-приєднання до умов договору, 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-в центрах обслуговування споживачів.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lang w:val="uk-UA" w:eastAsia="uk-UA"/>
              </w:rPr>
              <w:t>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зв'язку, у якому обслуговується одержувач.</w:t>
            </w:r>
          </w:p>
        </w:tc>
      </w:tr>
    </w:tbl>
    <w:p w:rsidR="00744142" w:rsidRPr="00744142" w:rsidRDefault="00744142" w:rsidP="0074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103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2"/>
        <w:gridCol w:w="237"/>
        <w:gridCol w:w="5039"/>
      </w:tblGrid>
      <w:tr w:rsidR="00744142" w:rsidRPr="00744142" w:rsidTr="00313EB9">
        <w:trPr>
          <w:trHeight w:val="296"/>
        </w:trPr>
        <w:tc>
          <w:tcPr>
            <w:tcW w:w="5102" w:type="dxa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Постачальник:</w:t>
            </w:r>
          </w:p>
        </w:tc>
        <w:tc>
          <w:tcPr>
            <w:tcW w:w="237" w:type="dxa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039" w:type="dxa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744142" w:rsidRPr="00744142" w:rsidTr="00313EB9">
        <w:trPr>
          <w:cantSplit/>
          <w:trHeight w:val="281"/>
        </w:trPr>
        <w:tc>
          <w:tcPr>
            <w:tcW w:w="5102" w:type="dxa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4414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ТОВ «ЕНЕРА ВІННИЦЯ»</w:t>
            </w:r>
          </w:p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237" w:type="dxa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5039" w:type="dxa"/>
          </w:tcPr>
          <w:p w:rsidR="00744142" w:rsidRPr="00744142" w:rsidRDefault="00744142" w:rsidP="0074414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</w:tbl>
    <w:p w:rsidR="001F25DC" w:rsidRDefault="001F25DC" w:rsidP="00744142">
      <w:pPr>
        <w:spacing w:after="0"/>
      </w:pPr>
    </w:p>
    <w:sectPr w:rsidR="001F25DC" w:rsidSect="0074414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9F" w:rsidRDefault="007A5B9F" w:rsidP="00744142">
      <w:pPr>
        <w:spacing w:after="0" w:line="240" w:lineRule="auto"/>
      </w:pPr>
      <w:r>
        <w:separator/>
      </w:r>
    </w:p>
  </w:endnote>
  <w:endnote w:type="continuationSeparator" w:id="0">
    <w:p w:rsidR="007A5B9F" w:rsidRDefault="007A5B9F" w:rsidP="0074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9F" w:rsidRDefault="007A5B9F" w:rsidP="00744142">
      <w:pPr>
        <w:spacing w:after="0" w:line="240" w:lineRule="auto"/>
      </w:pPr>
      <w:r>
        <w:separator/>
      </w:r>
    </w:p>
  </w:footnote>
  <w:footnote w:type="continuationSeparator" w:id="0">
    <w:p w:rsidR="007A5B9F" w:rsidRDefault="007A5B9F" w:rsidP="00744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9B"/>
    <w:rsid w:val="001F25DC"/>
    <w:rsid w:val="002D309B"/>
    <w:rsid w:val="00744142"/>
    <w:rsid w:val="007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10314-005C-4CFC-A6BD-30D5BA71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933</Words>
  <Characters>5320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Колодій Тетяна Валентинівна</dc:creator>
  <cp:keywords/>
  <dc:description/>
  <cp:lastModifiedBy>Колодій Тетяна Валентинівна</cp:lastModifiedBy>
  <cp:revision>2</cp:revision>
  <dcterms:created xsi:type="dcterms:W3CDTF">2022-07-11T07:49:00Z</dcterms:created>
  <dcterms:modified xsi:type="dcterms:W3CDTF">2022-07-11T07:58:00Z</dcterms:modified>
</cp:coreProperties>
</file>