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DB7253">
            <w:pPr>
              <w:pStyle w:val="ac"/>
              <w:numPr>
                <w:ilvl w:val="0"/>
                <w:numId w:val="6"/>
              </w:numPr>
              <w:ind w:left="231" w:hanging="231"/>
              <w:jc w:val="both"/>
              <w:rPr>
                <w:sz w:val="22"/>
                <w:szCs w:val="22"/>
              </w:rPr>
            </w:pPr>
            <w:r w:rsidRPr="006678CD">
              <w:rPr>
                <w:sz w:val="22"/>
                <w:szCs w:val="22"/>
              </w:rPr>
              <w:t xml:space="preserve">Фізична особа є власником (користувачем) об’єкта; </w:t>
            </w:r>
          </w:p>
          <w:p w14:paraId="60071CFB" w14:textId="3B8840B2" w:rsidR="00E249B8" w:rsidRPr="006678CD" w:rsidRDefault="004E5BC6" w:rsidP="00DB7253">
            <w:pPr>
              <w:pStyle w:val="ac"/>
              <w:numPr>
                <w:ilvl w:val="0"/>
                <w:numId w:val="6"/>
              </w:numPr>
              <w:ind w:left="231" w:hanging="231"/>
              <w:jc w:val="both"/>
              <w:rPr>
                <w:sz w:val="22"/>
                <w:szCs w:val="22"/>
              </w:rPr>
            </w:pPr>
            <w:r w:rsidRPr="006678CD">
              <w:rPr>
                <w:sz w:val="22"/>
                <w:szCs w:val="22"/>
              </w:rPr>
              <w:t>н</w:t>
            </w:r>
            <w:r w:rsidR="00E249B8" w:rsidRPr="006678CD">
              <w:rPr>
                <w:sz w:val="22"/>
                <w:szCs w:val="22"/>
              </w:rPr>
              <w:t xml:space="preserve">аявний </w:t>
            </w:r>
            <w:r w:rsidR="00DB7253">
              <w:rPr>
                <w:sz w:val="22"/>
                <w:szCs w:val="22"/>
              </w:rPr>
              <w:t>к</w:t>
            </w:r>
            <w:r w:rsidR="00E249B8" w:rsidRPr="006678CD">
              <w:rPr>
                <w:sz w:val="22"/>
                <w:szCs w:val="22"/>
              </w:rPr>
              <w:t xml:space="preserve">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w:t>
            </w:r>
            <w:r w:rsidR="00DB7253">
              <w:rPr>
                <w:sz w:val="22"/>
                <w:szCs w:val="22"/>
              </w:rPr>
              <w:t>к</w:t>
            </w:r>
            <w:r w:rsidR="00E249B8" w:rsidRPr="006678CD">
              <w:rPr>
                <w:sz w:val="22"/>
                <w:szCs w:val="22"/>
              </w:rPr>
              <w:t xml:space="preserve">омерційною пропозицією; </w:t>
            </w:r>
          </w:p>
          <w:p w14:paraId="0BEFC558" w14:textId="2AB7AD11" w:rsidR="00E249B8" w:rsidRPr="006678CD" w:rsidRDefault="004E5BC6" w:rsidP="00DB7253">
            <w:pPr>
              <w:pStyle w:val="ac"/>
              <w:numPr>
                <w:ilvl w:val="0"/>
                <w:numId w:val="6"/>
              </w:numPr>
              <w:ind w:left="231" w:hanging="231"/>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DB7253">
            <w:pPr>
              <w:pStyle w:val="ac"/>
              <w:numPr>
                <w:ilvl w:val="0"/>
                <w:numId w:val="6"/>
              </w:numPr>
              <w:ind w:left="231" w:hanging="231"/>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A010956" w:rsidR="00E249B8" w:rsidRPr="006678CD" w:rsidRDefault="00E249B8" w:rsidP="00847F94">
            <w:pPr>
              <w:jc w:val="both"/>
              <w:rPr>
                <w:sz w:val="22"/>
                <w:szCs w:val="22"/>
              </w:rPr>
            </w:pPr>
            <w:r w:rsidRPr="006678CD">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w:t>
            </w:r>
            <w:r w:rsidR="005065D5">
              <w:rPr>
                <w:sz w:val="22"/>
                <w:szCs w:val="22"/>
              </w:rPr>
              <w:t>05.06.2029</w:t>
            </w:r>
            <w:r w:rsidRPr="006678CD">
              <w:rPr>
                <w:sz w:val="22"/>
                <w:szCs w:val="22"/>
              </w:rPr>
              <w:t xml:space="preserve"> №</w:t>
            </w:r>
            <w:r w:rsidR="00141F29">
              <w:rPr>
                <w:sz w:val="22"/>
                <w:szCs w:val="22"/>
              </w:rPr>
              <w:t xml:space="preserve"> </w:t>
            </w:r>
            <w:r w:rsidRPr="006678CD">
              <w:rPr>
                <w:sz w:val="22"/>
                <w:szCs w:val="22"/>
              </w:rPr>
              <w:t>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 xml:space="preserve">зі змінами відповідно до постанови Кабінету Міністрів України </w:t>
            </w:r>
            <w:r w:rsidR="005065D5">
              <w:rPr>
                <w:sz w:val="22"/>
                <w:szCs w:val="22"/>
              </w:rPr>
              <w:t xml:space="preserve">від </w:t>
            </w:r>
            <w:r w:rsidR="005065D5" w:rsidRPr="00F4351B">
              <w:rPr>
                <w:sz w:val="22"/>
                <w:szCs w:val="22"/>
              </w:rPr>
              <w:t>29</w:t>
            </w:r>
            <w:r w:rsidR="005065D5">
              <w:rPr>
                <w:sz w:val="22"/>
                <w:szCs w:val="22"/>
              </w:rPr>
              <w:t>.04.</w:t>
            </w:r>
            <w:r w:rsidR="005065D5" w:rsidRPr="00F4351B">
              <w:rPr>
                <w:sz w:val="22"/>
                <w:szCs w:val="22"/>
              </w:rPr>
              <w:t>2026 № 530</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від 06.08.2014 </w:t>
            </w:r>
            <w:r w:rsidR="00141F29" w:rsidRPr="006678CD">
              <w:rPr>
                <w:sz w:val="22"/>
                <w:szCs w:val="22"/>
              </w:rPr>
              <w:t xml:space="preserve">№ 409 </w:t>
            </w:r>
            <w:r w:rsidR="004E5BC6" w:rsidRPr="006678CD">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74390D17"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w:t>
            </w:r>
            <w:r w:rsidR="005065D5">
              <w:rPr>
                <w:sz w:val="22"/>
                <w:szCs w:val="22"/>
              </w:rPr>
              <w:br/>
            </w:r>
            <w:r w:rsidRPr="006678CD">
              <w:rPr>
                <w:sz w:val="22"/>
                <w:szCs w:val="22"/>
              </w:rPr>
              <w:t>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0BFA8C55"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5065D5">
              <w:rPr>
                <w:b/>
                <w:sz w:val="22"/>
                <w:szCs w:val="22"/>
              </w:rPr>
              <w:t>31 жовтня</w:t>
            </w:r>
            <w:r w:rsidR="007D29C0">
              <w:rPr>
                <w:b/>
                <w:sz w:val="22"/>
                <w:szCs w:val="22"/>
              </w:rPr>
              <w:t xml:space="preserve">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4A245B91" w14:textId="77777777" w:rsidR="0068118B" w:rsidRPr="00CF3A86" w:rsidRDefault="0068118B" w:rsidP="0068118B">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sidRPr="00CF3A86">
              <w:rPr>
                <w:b/>
                <w:sz w:val="22"/>
                <w:szCs w:val="22"/>
                <w:lang w:val="ru-RU"/>
              </w:rPr>
              <w:t>травень</w:t>
            </w:r>
            <w:r w:rsidRPr="00CF3A86">
              <w:rPr>
                <w:b/>
                <w:sz w:val="22"/>
                <w:szCs w:val="22"/>
              </w:rPr>
              <w:t xml:space="preserve"> 2026 року становить: </w:t>
            </w:r>
          </w:p>
          <w:p w14:paraId="6FD993ED" w14:textId="77777777" w:rsidR="0068118B" w:rsidRPr="00B31605" w:rsidRDefault="0068118B" w:rsidP="0068118B">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090CEB87" w14:textId="77777777" w:rsidR="0068118B" w:rsidRPr="00B31605" w:rsidRDefault="0068118B" w:rsidP="0068118B">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4FB45A68" w14:textId="77777777" w:rsidR="0068118B" w:rsidRPr="00CF3A86" w:rsidRDefault="0068118B" w:rsidP="0068118B">
            <w:pPr>
              <w:ind w:firstLine="6"/>
              <w:contextualSpacing/>
              <w:jc w:val="both"/>
              <w:textAlignment w:val="baseline"/>
              <w:rPr>
                <w:b/>
                <w:sz w:val="22"/>
                <w:szCs w:val="22"/>
              </w:rPr>
            </w:pPr>
          </w:p>
          <w:p w14:paraId="54FD22BE" w14:textId="77777777" w:rsidR="0068118B" w:rsidRPr="00CF3A86" w:rsidRDefault="0068118B" w:rsidP="0068118B">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sidRPr="00CF3A86">
              <w:rPr>
                <w:b/>
                <w:sz w:val="22"/>
                <w:szCs w:val="22"/>
                <w:lang w:val="ru-RU"/>
              </w:rPr>
              <w:t>травень</w:t>
            </w:r>
            <w:r w:rsidRPr="00CF3A86">
              <w:rPr>
                <w:b/>
                <w:sz w:val="22"/>
                <w:szCs w:val="22"/>
              </w:rPr>
              <w:t xml:space="preserve"> 2026 року становить:</w:t>
            </w:r>
          </w:p>
          <w:p w14:paraId="0E2AC07F" w14:textId="77777777" w:rsidR="0068118B" w:rsidRPr="00B31605" w:rsidRDefault="0068118B" w:rsidP="0068118B">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19278A14" w14:textId="77777777" w:rsidR="0068118B" w:rsidRPr="00E62B9B" w:rsidRDefault="0068118B" w:rsidP="0068118B">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22B0737C" w14:textId="77777777" w:rsidR="002F33D5" w:rsidRPr="007B1D66" w:rsidRDefault="002F33D5" w:rsidP="002F33D5">
            <w:pPr>
              <w:rPr>
                <w:b/>
                <w:sz w:val="22"/>
                <w:szCs w:val="22"/>
                <w:lang w:val="ru-RU"/>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C29F" w14:textId="77777777" w:rsidR="000B76EC" w:rsidRDefault="000B76EC" w:rsidP="006678CD">
      <w:r>
        <w:separator/>
      </w:r>
    </w:p>
  </w:endnote>
  <w:endnote w:type="continuationSeparator" w:id="0">
    <w:p w14:paraId="4A7AE633" w14:textId="77777777" w:rsidR="000B76EC" w:rsidRDefault="000B76EC"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AF06" w14:textId="77777777" w:rsidR="000B76EC" w:rsidRDefault="000B76EC" w:rsidP="006678CD">
      <w:r>
        <w:separator/>
      </w:r>
    </w:p>
  </w:footnote>
  <w:footnote w:type="continuationSeparator" w:id="0">
    <w:p w14:paraId="0F70615C" w14:textId="77777777" w:rsidR="000B76EC" w:rsidRDefault="000B76EC"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2814ABE"/>
    <w:multiLevelType w:val="hybridMultilevel"/>
    <w:tmpl w:val="990A89E0"/>
    <w:lvl w:ilvl="0" w:tplc="04220011">
      <w:start w:val="1"/>
      <w:numFmt w:val="decimal"/>
      <w:lvlText w:val="%1)"/>
      <w:lvlJc w:val="left"/>
      <w:pPr>
        <w:ind w:left="792"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5"/>
  </w:num>
  <w:num w:numId="2" w16cid:durableId="1370958427">
    <w:abstractNumId w:val="3"/>
  </w:num>
  <w:num w:numId="3" w16cid:durableId="1034884868">
    <w:abstractNumId w:val="2"/>
  </w:num>
  <w:num w:numId="4" w16cid:durableId="1603875913">
    <w:abstractNumId w:val="0"/>
  </w:num>
  <w:num w:numId="5" w16cid:durableId="1080176639">
    <w:abstractNumId w:val="1"/>
  </w:num>
  <w:num w:numId="6" w16cid:durableId="6277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B76EC"/>
    <w:rsid w:val="000C1481"/>
    <w:rsid w:val="00102EFE"/>
    <w:rsid w:val="001319C0"/>
    <w:rsid w:val="00133A3F"/>
    <w:rsid w:val="00141F29"/>
    <w:rsid w:val="0016422F"/>
    <w:rsid w:val="00164B0B"/>
    <w:rsid w:val="001A19C6"/>
    <w:rsid w:val="001B2C43"/>
    <w:rsid w:val="001E0AE2"/>
    <w:rsid w:val="001E708E"/>
    <w:rsid w:val="0020329F"/>
    <w:rsid w:val="00226129"/>
    <w:rsid w:val="00296365"/>
    <w:rsid w:val="002A77D8"/>
    <w:rsid w:val="002E48D9"/>
    <w:rsid w:val="002F22EA"/>
    <w:rsid w:val="002F33D5"/>
    <w:rsid w:val="003038B6"/>
    <w:rsid w:val="00310F79"/>
    <w:rsid w:val="003301DD"/>
    <w:rsid w:val="003408FF"/>
    <w:rsid w:val="003464B6"/>
    <w:rsid w:val="0037686D"/>
    <w:rsid w:val="003B0EE6"/>
    <w:rsid w:val="003C2083"/>
    <w:rsid w:val="003C2FC5"/>
    <w:rsid w:val="003F2ADB"/>
    <w:rsid w:val="00401EEB"/>
    <w:rsid w:val="00403AA7"/>
    <w:rsid w:val="00466B33"/>
    <w:rsid w:val="00493544"/>
    <w:rsid w:val="004B5B6D"/>
    <w:rsid w:val="004D4E7A"/>
    <w:rsid w:val="004E5BC6"/>
    <w:rsid w:val="00504BCB"/>
    <w:rsid w:val="005065D5"/>
    <w:rsid w:val="0052457F"/>
    <w:rsid w:val="005250DB"/>
    <w:rsid w:val="005441E0"/>
    <w:rsid w:val="00545552"/>
    <w:rsid w:val="00575BFB"/>
    <w:rsid w:val="00591E32"/>
    <w:rsid w:val="005A0CB0"/>
    <w:rsid w:val="005C579D"/>
    <w:rsid w:val="005E1B35"/>
    <w:rsid w:val="005F0CE8"/>
    <w:rsid w:val="0061794A"/>
    <w:rsid w:val="006239D5"/>
    <w:rsid w:val="00631C5E"/>
    <w:rsid w:val="006537FE"/>
    <w:rsid w:val="006678CD"/>
    <w:rsid w:val="0068118B"/>
    <w:rsid w:val="0069634C"/>
    <w:rsid w:val="006C25DE"/>
    <w:rsid w:val="0070101D"/>
    <w:rsid w:val="00752130"/>
    <w:rsid w:val="0075360D"/>
    <w:rsid w:val="00791695"/>
    <w:rsid w:val="00796B09"/>
    <w:rsid w:val="007B1D66"/>
    <w:rsid w:val="007B72AE"/>
    <w:rsid w:val="007D29C0"/>
    <w:rsid w:val="007E2E82"/>
    <w:rsid w:val="007E49A9"/>
    <w:rsid w:val="0080599D"/>
    <w:rsid w:val="00863C2C"/>
    <w:rsid w:val="00866840"/>
    <w:rsid w:val="008677B3"/>
    <w:rsid w:val="008775A9"/>
    <w:rsid w:val="008857D0"/>
    <w:rsid w:val="00891570"/>
    <w:rsid w:val="008956DF"/>
    <w:rsid w:val="008A79CE"/>
    <w:rsid w:val="008F621A"/>
    <w:rsid w:val="00945F7E"/>
    <w:rsid w:val="00956478"/>
    <w:rsid w:val="0096308A"/>
    <w:rsid w:val="009959B5"/>
    <w:rsid w:val="00A14402"/>
    <w:rsid w:val="00A33BE1"/>
    <w:rsid w:val="00A56E9A"/>
    <w:rsid w:val="00A65556"/>
    <w:rsid w:val="00A7291B"/>
    <w:rsid w:val="00A92E7E"/>
    <w:rsid w:val="00AA2958"/>
    <w:rsid w:val="00AD4B9D"/>
    <w:rsid w:val="00AF160D"/>
    <w:rsid w:val="00B8035C"/>
    <w:rsid w:val="00B87689"/>
    <w:rsid w:val="00B95462"/>
    <w:rsid w:val="00BA39DE"/>
    <w:rsid w:val="00BE557E"/>
    <w:rsid w:val="00C07013"/>
    <w:rsid w:val="00C150BA"/>
    <w:rsid w:val="00C63440"/>
    <w:rsid w:val="00C83D74"/>
    <w:rsid w:val="00C94399"/>
    <w:rsid w:val="00CE315B"/>
    <w:rsid w:val="00D31B8D"/>
    <w:rsid w:val="00D35A76"/>
    <w:rsid w:val="00D4292E"/>
    <w:rsid w:val="00D50E25"/>
    <w:rsid w:val="00D81587"/>
    <w:rsid w:val="00D9182C"/>
    <w:rsid w:val="00D9387D"/>
    <w:rsid w:val="00DA358C"/>
    <w:rsid w:val="00DA580B"/>
    <w:rsid w:val="00DA5E59"/>
    <w:rsid w:val="00DB7253"/>
    <w:rsid w:val="00DC167A"/>
    <w:rsid w:val="00DE55F1"/>
    <w:rsid w:val="00E04748"/>
    <w:rsid w:val="00E07C5E"/>
    <w:rsid w:val="00E126F7"/>
    <w:rsid w:val="00E249B8"/>
    <w:rsid w:val="00E952D4"/>
    <w:rsid w:val="00EA32E6"/>
    <w:rsid w:val="00ED551B"/>
    <w:rsid w:val="00EF68B3"/>
    <w:rsid w:val="00F06710"/>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6048</Words>
  <Characters>3448</Characters>
  <Application>Microsoft Office Word</Application>
  <DocSecurity>0</DocSecurity>
  <Lines>28</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2026-04-30T07:43:00Z</dcterms:modified>
</cp:coreProperties>
</file>