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60D1CEB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омерційною пропозицією; </w:t>
            </w:r>
          </w:p>
          <w:p w14:paraId="69D03DD5" w14:textId="2FB0AF97"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A8009B">
            <w:pPr>
              <w:pStyle w:val="HTML"/>
              <w:numPr>
                <w:ilvl w:val="0"/>
                <w:numId w:val="5"/>
              </w:numPr>
              <w:ind w:left="348" w:hanging="348"/>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08B10F5F"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підписуючи дану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74512B42"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зі змінами відповідно до постанови Кабінету Міністрів України від 22.10.2025 №1331</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22F0A6CF" w14:textId="77777777" w:rsidR="00287867" w:rsidRDefault="00287867" w:rsidP="00062924">
                  <w:pPr>
                    <w:jc w:val="center"/>
                    <w:rPr>
                      <w:sz w:val="22"/>
                      <w:szCs w:val="22"/>
                    </w:rPr>
                  </w:pPr>
                </w:p>
                <w:p w14:paraId="6CEE1DE4" w14:textId="677231E2"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6FF4D1AC" w14:textId="77777777" w:rsidR="00287867" w:rsidRDefault="00287867" w:rsidP="00062924">
                  <w:pPr>
                    <w:jc w:val="center"/>
                    <w:rPr>
                      <w:sz w:val="22"/>
                      <w:szCs w:val="22"/>
                    </w:rPr>
                  </w:pPr>
                </w:p>
                <w:p w14:paraId="5DF378D0" w14:textId="053C28C5"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4ECA113D" w14:textId="77777777" w:rsidR="00287867" w:rsidRDefault="00287867" w:rsidP="00062924">
                  <w:pPr>
                    <w:jc w:val="center"/>
                    <w:rPr>
                      <w:sz w:val="22"/>
                      <w:szCs w:val="22"/>
                    </w:rPr>
                  </w:pPr>
                </w:p>
                <w:p w14:paraId="35258621" w14:textId="1E1CB7F6"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1C2F15C" w14:textId="748F243B" w:rsidR="004F31AB" w:rsidRPr="00FE7201" w:rsidRDefault="004F31AB" w:rsidP="004F31AB">
            <w:pPr>
              <w:jc w:val="both"/>
              <w:rPr>
                <w:b/>
                <w:sz w:val="22"/>
                <w:szCs w:val="22"/>
              </w:rPr>
            </w:pPr>
            <w:r w:rsidRPr="00FE7201">
              <w:rPr>
                <w:b/>
                <w:sz w:val="22"/>
                <w:szCs w:val="22"/>
              </w:rPr>
              <w:lastRenderedPageBreak/>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FE7201">
              <w:rPr>
                <w:b/>
                <w:sz w:val="22"/>
                <w:szCs w:val="22"/>
              </w:rPr>
              <w:t>30 квітня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76A8B1D3" w14:textId="212CFE38" w:rsidR="0085282B" w:rsidRPr="00EB5F5B" w:rsidRDefault="0085282B" w:rsidP="0085282B">
            <w:pPr>
              <w:contextualSpacing/>
              <w:jc w:val="both"/>
              <w:textAlignment w:val="baseline"/>
              <w:rPr>
                <w:b/>
                <w:sz w:val="22"/>
                <w:szCs w:val="22"/>
              </w:rPr>
            </w:pPr>
            <w:r w:rsidRPr="00EB5F5B">
              <w:rPr>
                <w:b/>
                <w:sz w:val="22"/>
                <w:szCs w:val="22"/>
              </w:rPr>
              <w:t>Ціна на універсальні послуги для малих непобутових споживачів, електроустановки яких приєднані до мереж АТ</w:t>
            </w:r>
            <w:r>
              <w:rPr>
                <w:b/>
                <w:sz w:val="22"/>
                <w:szCs w:val="22"/>
              </w:rPr>
              <w:t xml:space="preserve"> </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40BAE82F" w14:textId="77777777" w:rsidR="0085282B" w:rsidRPr="00B31605" w:rsidRDefault="0085282B" w:rsidP="0085282B">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5D6A28B7" w14:textId="77777777" w:rsidR="0085282B" w:rsidRDefault="0085282B" w:rsidP="0085282B">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4CA8E5EC" w14:textId="77777777" w:rsidR="0085282B" w:rsidRDefault="0085282B" w:rsidP="0085282B">
            <w:pPr>
              <w:ind w:firstLine="6"/>
              <w:contextualSpacing/>
              <w:jc w:val="both"/>
              <w:textAlignment w:val="baseline"/>
              <w:rPr>
                <w:b/>
                <w:sz w:val="22"/>
                <w:szCs w:val="22"/>
              </w:rPr>
            </w:pPr>
          </w:p>
          <w:p w14:paraId="068968BA" w14:textId="77777777" w:rsidR="0085282B" w:rsidRDefault="0085282B" w:rsidP="0085282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w:t>
            </w:r>
          </w:p>
          <w:p w14:paraId="608360D0" w14:textId="77777777" w:rsidR="0085282B" w:rsidRPr="00B31605" w:rsidRDefault="0085282B" w:rsidP="0085282B">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295FE196" w14:textId="2B260313" w:rsidR="004A3647" w:rsidRDefault="0085282B" w:rsidP="0085282B">
            <w:pPr>
              <w:ind w:firstLine="6"/>
              <w:contextualSpacing/>
              <w:jc w:val="both"/>
              <w:textAlignment w:val="baseline"/>
              <w:rPr>
                <w:b/>
                <w:sz w:val="22"/>
                <w:szCs w:val="22"/>
              </w:rPr>
            </w:pPr>
            <w:r w:rsidRPr="00B31605">
              <w:rPr>
                <w:b/>
                <w:sz w:val="22"/>
                <w:szCs w:val="22"/>
              </w:rPr>
              <w:lastRenderedPageBreak/>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2C6873C1" w14:textId="77777777" w:rsidR="0085282B" w:rsidRPr="0059056E" w:rsidRDefault="0085282B" w:rsidP="0085282B">
            <w:pPr>
              <w:ind w:firstLine="6"/>
              <w:contextualSpacing/>
              <w:jc w:val="both"/>
              <w:textAlignment w:val="baseline"/>
              <w:rPr>
                <w:b/>
                <w:sz w:val="22"/>
                <w:szCs w:val="22"/>
              </w:rPr>
            </w:pPr>
          </w:p>
          <w:p w14:paraId="7558E9DC" w14:textId="15648F3B"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5A60C7">
              <w:rPr>
                <w:sz w:val="22"/>
                <w:szCs w:val="22"/>
              </w:rPr>
              <w:lastRenderedPageBreak/>
              <w:t xml:space="preserve">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lastRenderedPageBreak/>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CE5E" w14:textId="77777777" w:rsidR="004536A3" w:rsidRDefault="004536A3" w:rsidP="0006485A">
      <w:r>
        <w:separator/>
      </w:r>
    </w:p>
  </w:endnote>
  <w:endnote w:type="continuationSeparator" w:id="0">
    <w:p w14:paraId="07B24143" w14:textId="77777777" w:rsidR="004536A3" w:rsidRDefault="004536A3"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E931" w14:textId="77777777" w:rsidR="004536A3" w:rsidRDefault="004536A3" w:rsidP="0006485A">
      <w:r>
        <w:separator/>
      </w:r>
    </w:p>
  </w:footnote>
  <w:footnote w:type="continuationSeparator" w:id="0">
    <w:p w14:paraId="3EC5E0DE" w14:textId="77777777" w:rsidR="004536A3" w:rsidRDefault="004536A3"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42D6E2A"/>
    <w:multiLevelType w:val="hybridMultilevel"/>
    <w:tmpl w:val="C54C8AA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3"/>
  </w:num>
  <w:num w:numId="3" w16cid:durableId="243730272">
    <w:abstractNumId w:val="0"/>
  </w:num>
  <w:num w:numId="4" w16cid:durableId="1351175798">
    <w:abstractNumId w:val="4"/>
  </w:num>
  <w:num w:numId="5" w16cid:durableId="3385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5175D"/>
    <w:rsid w:val="00062924"/>
    <w:rsid w:val="0006485A"/>
    <w:rsid w:val="00066B51"/>
    <w:rsid w:val="0007102F"/>
    <w:rsid w:val="00087ECE"/>
    <w:rsid w:val="000B4C08"/>
    <w:rsid w:val="000C1481"/>
    <w:rsid w:val="000E0FD7"/>
    <w:rsid w:val="000F2239"/>
    <w:rsid w:val="001266E9"/>
    <w:rsid w:val="001319C0"/>
    <w:rsid w:val="00133A3F"/>
    <w:rsid w:val="00166B74"/>
    <w:rsid w:val="00186747"/>
    <w:rsid w:val="00187E38"/>
    <w:rsid w:val="00193049"/>
    <w:rsid w:val="001C55E3"/>
    <w:rsid w:val="001D392A"/>
    <w:rsid w:val="001E708E"/>
    <w:rsid w:val="001E7862"/>
    <w:rsid w:val="001F52AA"/>
    <w:rsid w:val="001F6FFB"/>
    <w:rsid w:val="0020329F"/>
    <w:rsid w:val="0023499E"/>
    <w:rsid w:val="00284F04"/>
    <w:rsid w:val="00287867"/>
    <w:rsid w:val="002E48D9"/>
    <w:rsid w:val="002F22EA"/>
    <w:rsid w:val="00302D26"/>
    <w:rsid w:val="00336B00"/>
    <w:rsid w:val="003408FF"/>
    <w:rsid w:val="00354D47"/>
    <w:rsid w:val="00375BBB"/>
    <w:rsid w:val="003876A9"/>
    <w:rsid w:val="003A513A"/>
    <w:rsid w:val="003B0EE6"/>
    <w:rsid w:val="003C2083"/>
    <w:rsid w:val="003D32FA"/>
    <w:rsid w:val="003D3AD1"/>
    <w:rsid w:val="003F0539"/>
    <w:rsid w:val="004536A3"/>
    <w:rsid w:val="0047524F"/>
    <w:rsid w:val="00493544"/>
    <w:rsid w:val="004A3647"/>
    <w:rsid w:val="004A63B2"/>
    <w:rsid w:val="004D4E7A"/>
    <w:rsid w:val="004E064A"/>
    <w:rsid w:val="004F31AB"/>
    <w:rsid w:val="00536A6B"/>
    <w:rsid w:val="005437AC"/>
    <w:rsid w:val="00545EBD"/>
    <w:rsid w:val="005A0CB0"/>
    <w:rsid w:val="005A60C7"/>
    <w:rsid w:val="005D1F0A"/>
    <w:rsid w:val="005F7547"/>
    <w:rsid w:val="005F7B3D"/>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5282B"/>
    <w:rsid w:val="00891570"/>
    <w:rsid w:val="008F758E"/>
    <w:rsid w:val="00901F29"/>
    <w:rsid w:val="0091579C"/>
    <w:rsid w:val="00944B89"/>
    <w:rsid w:val="00945F7E"/>
    <w:rsid w:val="00956503"/>
    <w:rsid w:val="009C4B97"/>
    <w:rsid w:val="009E3629"/>
    <w:rsid w:val="00A006F7"/>
    <w:rsid w:val="00A14402"/>
    <w:rsid w:val="00A335B2"/>
    <w:rsid w:val="00A479C4"/>
    <w:rsid w:val="00A56E9A"/>
    <w:rsid w:val="00A63747"/>
    <w:rsid w:val="00A8009B"/>
    <w:rsid w:val="00A92E7E"/>
    <w:rsid w:val="00AD4B9D"/>
    <w:rsid w:val="00AF160D"/>
    <w:rsid w:val="00B17266"/>
    <w:rsid w:val="00B37105"/>
    <w:rsid w:val="00B735BA"/>
    <w:rsid w:val="00B8035C"/>
    <w:rsid w:val="00B826AA"/>
    <w:rsid w:val="00B93148"/>
    <w:rsid w:val="00BA39DE"/>
    <w:rsid w:val="00BD2178"/>
    <w:rsid w:val="00BE264C"/>
    <w:rsid w:val="00C63440"/>
    <w:rsid w:val="00CB249A"/>
    <w:rsid w:val="00CC3E7E"/>
    <w:rsid w:val="00CE315B"/>
    <w:rsid w:val="00CE4205"/>
    <w:rsid w:val="00CF0848"/>
    <w:rsid w:val="00D31B8D"/>
    <w:rsid w:val="00D81587"/>
    <w:rsid w:val="00D873DB"/>
    <w:rsid w:val="00D9182C"/>
    <w:rsid w:val="00D9387D"/>
    <w:rsid w:val="00DB7FF1"/>
    <w:rsid w:val="00DC6318"/>
    <w:rsid w:val="00DC63D3"/>
    <w:rsid w:val="00DD1097"/>
    <w:rsid w:val="00DE19AA"/>
    <w:rsid w:val="00E04748"/>
    <w:rsid w:val="00E067D7"/>
    <w:rsid w:val="00E126F7"/>
    <w:rsid w:val="00E22A6D"/>
    <w:rsid w:val="00E249B8"/>
    <w:rsid w:val="00E862E0"/>
    <w:rsid w:val="00EF3ACB"/>
    <w:rsid w:val="00FA1DCA"/>
    <w:rsid w:val="00FA6A7C"/>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7312</Words>
  <Characters>4169</Characters>
  <Application>Microsoft Office Word</Application>
  <DocSecurity>0</DocSecurity>
  <Lines>34</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2026-02-17T14:54:00Z</dcterms:modified>
</cp:coreProperties>
</file>