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6B29" w:rsidRPr="00583E7F" w:rsidRDefault="00B3246F">
      <w:pPr>
        <w:pStyle w:val="Style2"/>
        <w:widowControl/>
        <w:spacing w:before="53"/>
        <w:ind w:left="6374"/>
        <w:rPr>
          <w:rStyle w:val="FontStyle12"/>
          <w:sz w:val="24"/>
          <w:szCs w:val="24"/>
          <w:lang w:val="uk-UA" w:eastAsia="uk-UA"/>
        </w:rPr>
      </w:pPr>
      <w:r w:rsidRPr="00583E7F">
        <w:rPr>
          <w:rStyle w:val="FontStyle12"/>
          <w:sz w:val="24"/>
          <w:szCs w:val="24"/>
          <w:lang w:val="uk-UA" w:eastAsia="uk-UA"/>
        </w:rPr>
        <w:t>Додаток № 2</w:t>
      </w:r>
    </w:p>
    <w:p w:rsidR="00376B29" w:rsidRPr="00583E7F" w:rsidRDefault="00B3246F">
      <w:pPr>
        <w:pStyle w:val="Style2"/>
        <w:widowControl/>
        <w:ind w:left="6379"/>
        <w:rPr>
          <w:rStyle w:val="FontStyle12"/>
          <w:sz w:val="24"/>
          <w:szCs w:val="24"/>
          <w:lang w:val="uk-UA" w:eastAsia="uk-UA"/>
        </w:rPr>
      </w:pPr>
      <w:r w:rsidRPr="00583E7F">
        <w:rPr>
          <w:rStyle w:val="FontStyle12"/>
          <w:sz w:val="24"/>
          <w:szCs w:val="24"/>
          <w:lang w:val="uk-UA" w:eastAsia="uk-UA"/>
        </w:rPr>
        <w:t>до Договору про постачання електричної енергії споживачу</w:t>
      </w:r>
    </w:p>
    <w:p w:rsidR="00376B29" w:rsidRPr="00583E7F" w:rsidRDefault="00376B29">
      <w:pPr>
        <w:pStyle w:val="Style3"/>
        <w:widowControl/>
        <w:spacing w:line="240" w:lineRule="exact"/>
        <w:ind w:left="725"/>
        <w:rPr>
          <w:lang w:val="uk-UA"/>
        </w:rPr>
      </w:pPr>
    </w:p>
    <w:p w:rsidR="00553813" w:rsidRPr="00583E7F" w:rsidRDefault="00553813">
      <w:pPr>
        <w:pStyle w:val="Style3"/>
        <w:widowControl/>
        <w:spacing w:line="240" w:lineRule="exact"/>
        <w:ind w:left="725"/>
        <w:rPr>
          <w:lang w:val="uk-UA"/>
        </w:rPr>
      </w:pPr>
    </w:p>
    <w:p w:rsidR="00922CB4" w:rsidRPr="00583E7F" w:rsidRDefault="00051422" w:rsidP="00C644F7">
      <w:pPr>
        <w:pStyle w:val="Style3"/>
        <w:widowControl/>
        <w:spacing w:before="72"/>
        <w:ind w:left="725"/>
        <w:rPr>
          <w:rStyle w:val="FontStyle11"/>
          <w:sz w:val="24"/>
          <w:szCs w:val="24"/>
          <w:u w:val="single"/>
          <w:lang w:val="uk-UA" w:eastAsia="uk-UA"/>
        </w:rPr>
      </w:pPr>
      <w:r w:rsidRPr="00583E7F">
        <w:rPr>
          <w:rStyle w:val="FontStyle11"/>
          <w:sz w:val="24"/>
          <w:szCs w:val="24"/>
          <w:lang w:val="uk-UA" w:eastAsia="uk-UA"/>
        </w:rPr>
        <w:t>Комерційна пропозиція</w:t>
      </w:r>
      <w:r w:rsidR="00B3246F" w:rsidRPr="00583E7F">
        <w:rPr>
          <w:rStyle w:val="FontStyle11"/>
          <w:sz w:val="24"/>
          <w:szCs w:val="24"/>
          <w:lang w:val="uk-UA" w:eastAsia="uk-UA"/>
        </w:rPr>
        <w:t xml:space="preserve"> </w:t>
      </w:r>
      <w:r w:rsidR="00C644F7" w:rsidRPr="00583E7F">
        <w:rPr>
          <w:rStyle w:val="FontStyle11"/>
          <w:sz w:val="24"/>
          <w:szCs w:val="24"/>
          <w:u w:val="single"/>
          <w:lang w:val="uk-UA" w:eastAsia="uk-UA"/>
        </w:rPr>
        <w:t xml:space="preserve">№ </w:t>
      </w:r>
      <w:r w:rsidR="00583E7F">
        <w:rPr>
          <w:rStyle w:val="FontStyle11"/>
          <w:sz w:val="24"/>
          <w:szCs w:val="24"/>
          <w:u w:val="single"/>
          <w:lang w:val="uk-UA" w:eastAsia="uk-UA"/>
        </w:rPr>
        <w:t>1.2.</w:t>
      </w:r>
      <w:r w:rsidR="009365B9" w:rsidRPr="00583E7F">
        <w:rPr>
          <w:rStyle w:val="FontStyle11"/>
          <w:sz w:val="24"/>
          <w:szCs w:val="24"/>
          <w:u w:val="single"/>
          <w:lang w:val="uk-UA" w:eastAsia="uk-UA"/>
        </w:rPr>
        <w:t>5</w:t>
      </w:r>
      <w:r w:rsidR="00583E7F">
        <w:rPr>
          <w:rStyle w:val="FontStyle11"/>
          <w:sz w:val="24"/>
          <w:szCs w:val="24"/>
          <w:u w:val="single"/>
          <w:lang w:val="uk-UA" w:eastAsia="uk-UA"/>
        </w:rPr>
        <w:t>.1</w:t>
      </w:r>
    </w:p>
    <w:p w:rsidR="00C644F7" w:rsidRPr="00583E7F" w:rsidRDefault="00C644F7" w:rsidP="00C644F7">
      <w:pPr>
        <w:pStyle w:val="Style3"/>
        <w:widowControl/>
        <w:spacing w:before="72"/>
        <w:ind w:left="725"/>
        <w:rPr>
          <w:rStyle w:val="FontStyle11"/>
          <w:sz w:val="24"/>
          <w:szCs w:val="24"/>
          <w:lang w:val="uk-UA" w:eastAsia="uk-UA"/>
        </w:rPr>
      </w:pPr>
      <w:r w:rsidRPr="00583E7F">
        <w:rPr>
          <w:rStyle w:val="FontStyle11"/>
          <w:sz w:val="24"/>
          <w:szCs w:val="24"/>
          <w:lang w:val="uk-UA" w:eastAsia="uk-UA"/>
        </w:rPr>
        <w:t>для споживачів, які не відносяться до сегменту ринку, обов’язки постачання якому покладені на Пост</w:t>
      </w:r>
      <w:r w:rsidR="00AD7F98" w:rsidRPr="00583E7F">
        <w:rPr>
          <w:rStyle w:val="FontStyle11"/>
          <w:sz w:val="24"/>
          <w:szCs w:val="24"/>
          <w:lang w:val="uk-UA" w:eastAsia="uk-UA"/>
        </w:rPr>
        <w:t>ачальника універсальної послуги</w:t>
      </w:r>
    </w:p>
    <w:p w:rsidR="00376B29" w:rsidRPr="00583E7F" w:rsidRDefault="00376B29">
      <w:pPr>
        <w:pStyle w:val="Style4"/>
        <w:widowControl/>
        <w:spacing w:line="278" w:lineRule="exact"/>
        <w:jc w:val="center"/>
        <w:rPr>
          <w:rStyle w:val="FontStyle11"/>
          <w:sz w:val="24"/>
          <w:szCs w:val="24"/>
          <w:lang w:val="uk-UA" w:eastAsia="uk-UA"/>
        </w:rPr>
      </w:pPr>
    </w:p>
    <w:tbl>
      <w:tblPr>
        <w:tblW w:w="10368" w:type="dxa"/>
        <w:tblInd w:w="-18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554"/>
        <w:gridCol w:w="7814"/>
      </w:tblGrid>
      <w:tr w:rsidR="00F422F6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F6" w:rsidRPr="00583E7F" w:rsidRDefault="00F422F6" w:rsidP="00D6714F">
            <w:pPr>
              <w:pStyle w:val="Style5"/>
              <w:widowControl/>
              <w:spacing w:line="274" w:lineRule="exact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Критерії, яким має відповідати особа, що обирає дану комерційну пропозицію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F6" w:rsidRPr="00583E7F" w:rsidRDefault="00F422F6" w:rsidP="00D6714F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sz w:val="24"/>
                <w:szCs w:val="24"/>
                <w:lang w:val="uk-UA"/>
              </w:rPr>
            </w:pPr>
            <w:r w:rsidRPr="00583E7F">
              <w:rPr>
                <w:rStyle w:val="FontStyle12"/>
                <w:sz w:val="24"/>
                <w:szCs w:val="24"/>
                <w:lang w:val="uk-UA"/>
              </w:rPr>
              <w:t>-</w:t>
            </w:r>
            <w:r w:rsidRPr="00583E7F">
              <w:rPr>
                <w:rStyle w:val="FontStyle12"/>
                <w:sz w:val="24"/>
                <w:szCs w:val="24"/>
                <w:lang w:val="uk-UA"/>
              </w:rPr>
              <w:tab/>
              <w:t>особа є власником (користувачем) об'єкта;</w:t>
            </w:r>
          </w:p>
          <w:p w:rsidR="00F422F6" w:rsidRPr="00583E7F" w:rsidRDefault="00F422F6" w:rsidP="00DB333C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sz w:val="24"/>
                <w:szCs w:val="24"/>
                <w:lang w:val="uk-UA"/>
              </w:rPr>
            </w:pPr>
            <w:r w:rsidRPr="00583E7F">
              <w:rPr>
                <w:rStyle w:val="FontStyle12"/>
                <w:sz w:val="24"/>
                <w:szCs w:val="24"/>
                <w:lang w:val="uk-UA"/>
              </w:rPr>
              <w:t>-</w:t>
            </w:r>
            <w:r w:rsidRPr="00583E7F">
              <w:rPr>
                <w:rStyle w:val="FontStyle12"/>
                <w:sz w:val="24"/>
                <w:szCs w:val="24"/>
                <w:lang w:val="uk-UA"/>
              </w:rPr>
              <w:tab/>
            </w:r>
            <w:r w:rsidR="006F40EB" w:rsidRPr="00583E7F">
              <w:rPr>
                <w:rStyle w:val="FontStyle12"/>
                <w:sz w:val="24"/>
                <w:szCs w:val="24"/>
                <w:lang w:val="uk-UA"/>
              </w:rPr>
              <w:t>наявний облік електричної енергії забезпечує</w:t>
            </w:r>
            <w:r w:rsidRPr="00583E7F">
              <w:rPr>
                <w:rStyle w:val="FontStyle12"/>
                <w:sz w:val="24"/>
                <w:szCs w:val="24"/>
                <w:lang w:val="uk-UA"/>
              </w:rPr>
              <w:t xml:space="preserve"> можливість застосування цін (тарифів), передбачених даною комерційною пропозицією;</w:t>
            </w:r>
          </w:p>
          <w:p w:rsidR="00F422F6" w:rsidRPr="00583E7F" w:rsidRDefault="00F422F6" w:rsidP="00561C17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sz w:val="24"/>
                <w:szCs w:val="24"/>
                <w:lang w:val="uk-UA"/>
              </w:rPr>
            </w:pPr>
            <w:r w:rsidRPr="00583E7F">
              <w:rPr>
                <w:rStyle w:val="FontStyle12"/>
                <w:sz w:val="24"/>
                <w:szCs w:val="24"/>
                <w:lang w:val="uk-UA"/>
              </w:rPr>
              <w:t>-</w:t>
            </w:r>
            <w:r w:rsidRPr="00583E7F">
              <w:rPr>
                <w:rStyle w:val="FontStyle12"/>
                <w:sz w:val="24"/>
                <w:szCs w:val="24"/>
                <w:lang w:val="uk-UA"/>
              </w:rPr>
              <w:tab/>
              <w:t>споживач приєднався до умов договору споживача про надання послуг з розподілу (передачі) електричної енергії;</w:t>
            </w:r>
          </w:p>
          <w:p w:rsidR="00321F15" w:rsidRPr="00583E7F" w:rsidRDefault="00F422F6" w:rsidP="002B0180">
            <w:pPr>
              <w:pStyle w:val="Style6"/>
              <w:widowControl/>
              <w:tabs>
                <w:tab w:val="left" w:pos="466"/>
              </w:tabs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-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ab/>
              <w:t>перехід прав та обов'язків до нового власника (користув</w:t>
            </w:r>
            <w:r w:rsidR="006F40EB"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ача) об'єкта за  договорами, укладеними 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відповідно</w:t>
            </w:r>
            <w:r w:rsidR="006F40EB"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 до 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Правил роздрібного ринку електричної енергії н</w:t>
            </w:r>
            <w:r w:rsidR="00321F15" w:rsidRPr="00583E7F">
              <w:rPr>
                <w:rStyle w:val="FontStyle12"/>
                <w:sz w:val="24"/>
                <w:szCs w:val="24"/>
                <w:lang w:val="uk-UA" w:eastAsia="uk-UA"/>
              </w:rPr>
              <w:t>е потребує додаткових узгоджень</w:t>
            </w:r>
            <w:r w:rsidR="002B0180" w:rsidRPr="00583E7F">
              <w:rPr>
                <w:rStyle w:val="FontStyle12"/>
                <w:sz w:val="24"/>
                <w:szCs w:val="24"/>
                <w:lang w:val="uk-UA" w:eastAsia="uk-UA"/>
              </w:rPr>
              <w:t>.</w:t>
            </w:r>
          </w:p>
        </w:tc>
      </w:tr>
      <w:tr w:rsidR="00F33C79" w:rsidRPr="00910287" w:rsidTr="00996D73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3C79" w:rsidRPr="00583E7F" w:rsidRDefault="00F33C79" w:rsidP="00F33C79">
            <w:pPr>
              <w:pStyle w:val="Style5"/>
              <w:widowControl/>
              <w:spacing w:line="240" w:lineRule="auto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Ціна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F33C79" w:rsidRPr="00583E7F" w:rsidRDefault="00F33C79" w:rsidP="00250C17">
            <w:pPr>
              <w:pStyle w:val="Style1"/>
              <w:widowControl/>
              <w:spacing w:line="274" w:lineRule="exact"/>
              <w:jc w:val="left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/>
              </w:rPr>
              <w:t>Фактична ціна (тариф) купованої Споживачем електроенергії у розрахунковому періоді, яка зазначається в акті-купівлі продажу електроенергії,</w:t>
            </w:r>
            <w:r w:rsidR="00583E7F"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  <w:r w:rsidRPr="00583E7F">
              <w:rPr>
                <w:rStyle w:val="FontStyle12"/>
                <w:sz w:val="24"/>
                <w:szCs w:val="24"/>
                <w:lang w:val="uk-UA"/>
              </w:rPr>
              <w:t xml:space="preserve">становить – </w:t>
            </w:r>
            <w:r w:rsidR="00910287">
              <w:rPr>
                <w:rStyle w:val="FontStyle12"/>
                <w:sz w:val="24"/>
                <w:szCs w:val="24"/>
                <w:lang w:val="uk-UA"/>
              </w:rPr>
              <w:t>8</w:t>
            </w:r>
            <w:r w:rsidRPr="00583E7F">
              <w:rPr>
                <w:rStyle w:val="FontStyle12"/>
                <w:sz w:val="24"/>
                <w:szCs w:val="24"/>
                <w:lang w:val="uk-UA"/>
              </w:rPr>
              <w:t>,</w:t>
            </w:r>
            <w:r w:rsidR="00910287">
              <w:rPr>
                <w:rStyle w:val="FontStyle12"/>
                <w:sz w:val="24"/>
                <w:szCs w:val="24"/>
                <w:lang w:val="uk-UA"/>
              </w:rPr>
              <w:t>4</w:t>
            </w:r>
            <w:r w:rsidR="00250C17">
              <w:rPr>
                <w:rStyle w:val="FontStyle12"/>
                <w:sz w:val="24"/>
                <w:szCs w:val="24"/>
                <w:lang w:val="uk-UA"/>
              </w:rPr>
              <w:t>0</w:t>
            </w:r>
            <w:r w:rsidR="00583E7F">
              <w:rPr>
                <w:rStyle w:val="FontStyle12"/>
                <w:sz w:val="24"/>
                <w:szCs w:val="24"/>
                <w:lang w:val="uk-UA"/>
              </w:rPr>
              <w:t xml:space="preserve"> грн.</w:t>
            </w:r>
            <w:r w:rsidRPr="00583E7F">
              <w:rPr>
                <w:rStyle w:val="FontStyle12"/>
                <w:sz w:val="24"/>
                <w:szCs w:val="24"/>
                <w:lang w:val="uk-UA"/>
              </w:rPr>
              <w:t xml:space="preserve"> з ПДВ, в тому числі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 ПДВ – </w:t>
            </w:r>
            <w:r w:rsidR="00250C17">
              <w:rPr>
                <w:rStyle w:val="FontStyle12"/>
                <w:sz w:val="24"/>
                <w:szCs w:val="24"/>
                <w:lang w:val="uk-UA" w:eastAsia="uk-UA"/>
              </w:rPr>
              <w:t>1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,</w:t>
            </w:r>
            <w:r w:rsidR="00910287">
              <w:rPr>
                <w:rStyle w:val="FontStyle12"/>
                <w:sz w:val="24"/>
                <w:szCs w:val="24"/>
                <w:lang w:val="uk-UA" w:eastAsia="uk-UA"/>
              </w:rPr>
              <w:t>40</w:t>
            </w:r>
            <w:bookmarkStart w:id="0" w:name="_GoBack"/>
            <w:bookmarkEnd w:id="0"/>
            <w:r w:rsidR="00583E7F">
              <w:rPr>
                <w:rStyle w:val="FontStyle12"/>
                <w:sz w:val="24"/>
                <w:szCs w:val="24"/>
                <w:lang w:val="uk-UA" w:eastAsia="uk-UA"/>
              </w:rPr>
              <w:t xml:space="preserve"> 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грн.,</w:t>
            </w:r>
            <w:r w:rsidR="00250C17">
              <w:rPr>
                <w:rStyle w:val="FontStyle12"/>
                <w:sz w:val="24"/>
                <w:szCs w:val="24"/>
                <w:lang w:val="uk-UA" w:eastAsia="uk-UA"/>
              </w:rPr>
              <w:t xml:space="preserve">    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 за 1 кВт*год.</w:t>
            </w:r>
            <w:r w:rsidRPr="00583E7F">
              <w:rPr>
                <w:rStyle w:val="FontStyle12"/>
                <w:sz w:val="24"/>
                <w:szCs w:val="24"/>
                <w:lang w:val="uk-UA"/>
              </w:rPr>
              <w:t xml:space="preserve"> </w:t>
            </w:r>
          </w:p>
        </w:tc>
      </w:tr>
      <w:tr w:rsidR="00F422F6" w:rsidRPr="00910287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F6" w:rsidRPr="00583E7F" w:rsidRDefault="00F422F6" w:rsidP="00D6714F">
            <w:pPr>
              <w:pStyle w:val="Style5"/>
              <w:widowControl/>
              <w:spacing w:line="274" w:lineRule="exact"/>
              <w:ind w:left="379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Територія здійснення ліцензованої діяльності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F6" w:rsidRPr="00583E7F" w:rsidRDefault="00F422F6" w:rsidP="00D6714F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Не обмежена</w:t>
            </w:r>
          </w:p>
        </w:tc>
      </w:tr>
      <w:tr w:rsidR="00F422F6" w:rsidRPr="00910287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22F6" w:rsidRPr="00583E7F" w:rsidRDefault="00F422F6" w:rsidP="00D6714F">
            <w:pPr>
              <w:pStyle w:val="Style5"/>
              <w:widowControl/>
              <w:spacing w:line="240" w:lineRule="auto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Спосіб оплати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5F3" w:rsidRPr="00583E7F" w:rsidRDefault="00BD55F3" w:rsidP="00BD55F3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Оплата електричної енергії здійснюється Споживачем у формі 100% попередньої оплати заявлених Споживачем обсягів споживання на                      розрахунковий період з остаточним розрахунком, що проводиться за фактично відпущену електричну енергію згідно з даними комерційного обліку.</w:t>
            </w:r>
          </w:p>
          <w:p w:rsidR="00AD7F98" w:rsidRPr="00583E7F" w:rsidRDefault="00BD55F3" w:rsidP="00BD55F3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Попередня оплата здійснюється до 24 числа місяця, що передує розрахунковому у розмірі, який визначається за наступною формулою: O = W</w:t>
            </w:r>
            <w:r w:rsidRPr="00583E7F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заяв</w:t>
            </w:r>
            <w:r w:rsidR="00AD7F98" w:rsidRPr="00583E7F">
              <w:rPr>
                <w:rStyle w:val="FontStyle12"/>
                <w:sz w:val="24"/>
                <w:szCs w:val="24"/>
                <w:lang w:val="uk-UA" w:eastAsia="uk-UA"/>
              </w:rPr>
              <w:t>*Ц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, де </w:t>
            </w:r>
          </w:p>
          <w:p w:rsidR="00AD7F98" w:rsidRPr="00583E7F" w:rsidRDefault="00BD55F3" w:rsidP="00BD55F3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W</w:t>
            </w:r>
            <w:r w:rsidRPr="00583E7F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заяв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 - заявлені Споживачем обсяги спо</w:t>
            </w:r>
            <w:r w:rsidR="00AD7F98" w:rsidRPr="00583E7F">
              <w:rPr>
                <w:rStyle w:val="FontStyle12"/>
                <w:sz w:val="24"/>
                <w:szCs w:val="24"/>
                <w:lang w:val="uk-UA" w:eastAsia="uk-UA"/>
              </w:rPr>
              <w:t>живання на розрахунковий період,</w:t>
            </w:r>
          </w:p>
          <w:p w:rsidR="00BD55F3" w:rsidRPr="00583E7F" w:rsidRDefault="00BD55F3" w:rsidP="00BD55F3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Ц - прогнозована ціна (тариф), механізм визначення якої вказаний у розділі «Ціна» цієї комерційної пропозиції. Оплата здійснюється на поточний рахунок із спеціальним режимом  Постачальника, зазначений у Договорі або розрахункових документах.</w:t>
            </w:r>
          </w:p>
          <w:p w:rsidR="009365B9" w:rsidRPr="00583E7F" w:rsidRDefault="00BD55F3" w:rsidP="009B0EEA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Сума переплати/недоплати Споживача, яка виникла в наслідок різниці між Ц та Ц</w:t>
            </w:r>
            <w:r w:rsidRPr="00583E7F">
              <w:rPr>
                <w:rStyle w:val="FontStyle12"/>
                <w:sz w:val="24"/>
                <w:szCs w:val="24"/>
                <w:vertAlign w:val="subscript"/>
                <w:lang w:val="uk-UA" w:eastAsia="uk-UA"/>
              </w:rPr>
              <w:t>факт,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 визначається після завершення розрахункового періоду. Сума переплати Споживача, за вибором Споживача, може бути зарахована в якості оплати наступного розрахункового періоду, або повертається Постачальником на розрахунковий рахунок Споживача. Сума недоплати Споживача підлягає безумовній оплаті Споживачем не пізніше 5 робочих </w:t>
            </w:r>
            <w:r w:rsidR="009B0EEA"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 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днів з дня отримання рахунку.</w:t>
            </w:r>
          </w:p>
          <w:p w:rsidR="00AD7F98" w:rsidRPr="00583E7F" w:rsidRDefault="00AD7F98" w:rsidP="00ED569B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color w:val="000000"/>
                <w:lang w:val="uk-UA"/>
              </w:rPr>
              <w:t>У випадку зміни ціни на електричну енергію за розрахунковий період, у тому числі внаслідок зміни регульованих складових ціни (тарифів на послуги з передачі та/або розподілу електричної енергії) та/або змін у нормативно-правових актах щодо формування цієї ціни, Постачальник проводить перерахунок фактичної ціни (тарифу)</w:t>
            </w:r>
            <w:r w:rsidR="00ED569B" w:rsidRPr="00583E7F">
              <w:rPr>
                <w:color w:val="000000"/>
                <w:lang w:val="uk-UA"/>
              </w:rPr>
              <w:t xml:space="preserve"> а також </w:t>
            </w:r>
            <w:r w:rsidRPr="00583E7F">
              <w:rPr>
                <w:color w:val="000000"/>
                <w:lang w:val="uk-UA"/>
              </w:rPr>
              <w:t>попередньої оплати та надає споживачу коригуючий платіжний документ.</w:t>
            </w:r>
          </w:p>
        </w:tc>
      </w:tr>
      <w:tr w:rsidR="00F10E49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F10E49">
            <w:pPr>
              <w:pStyle w:val="Style5"/>
              <w:widowControl/>
              <w:spacing w:line="274" w:lineRule="exact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Договірні обсяги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D5C" w:rsidRPr="00583E7F" w:rsidRDefault="00F10E49" w:rsidP="00AD7F98">
            <w:pPr>
              <w:pStyle w:val="aa"/>
              <w:spacing w:before="0" w:after="0"/>
              <w:jc w:val="both"/>
              <w:rPr>
                <w:lang w:val="uk-UA"/>
              </w:rPr>
            </w:pPr>
            <w:r w:rsidRPr="00583E7F">
              <w:rPr>
                <w:lang w:val="uk-UA"/>
              </w:rPr>
              <w:t xml:space="preserve">Споживач до 5 числа (включно) місяця, що передує розрахунковому, надає Постачальнику інформацію на наступний розрахунковий місяць (прогнозний графік) про замовлене місячне (по годинах) споживання електричної енергії в цілому по Споживачу та з розбивкою по площадкам вимірювання, обсяг споживання електроенергії по яких визначається Оператором системи за допомогою щодобового автоматизованого дистанційного зчитування облікованих даних лічильників (погодинного </w:t>
            </w:r>
            <w:r w:rsidRPr="00583E7F">
              <w:rPr>
                <w:lang w:val="uk-UA"/>
              </w:rPr>
              <w:lastRenderedPageBreak/>
              <w:t xml:space="preserve">або меншого періоду інтеграції) та площадках, на яких не встановлено АСКОЕ. </w:t>
            </w:r>
          </w:p>
        </w:tc>
      </w:tr>
      <w:tr w:rsidR="00F10E49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F10E49">
            <w:pPr>
              <w:pStyle w:val="Style5"/>
              <w:widowControl/>
              <w:spacing w:line="274" w:lineRule="exact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lastRenderedPageBreak/>
              <w:t>Коригування заявлених обсягів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B01FF0">
            <w:pPr>
              <w:widowControl/>
              <w:autoSpaceDE/>
              <w:autoSpaceDN/>
              <w:adjustRightInd/>
              <w:jc w:val="both"/>
              <w:rPr>
                <w:rStyle w:val="FontStyle12"/>
                <w:rFonts w:eastAsiaTheme="minorHAnsi"/>
                <w:sz w:val="24"/>
                <w:szCs w:val="24"/>
                <w:lang w:val="uk-UA" w:eastAsia="en-US"/>
              </w:rPr>
            </w:pPr>
            <w:r w:rsidRPr="00583E7F">
              <w:rPr>
                <w:rFonts w:eastAsiaTheme="minorHAnsi"/>
                <w:lang w:val="uk-UA" w:eastAsia="en-US"/>
              </w:rPr>
              <w:t>В разі необхідності Споживач може скоригувати заявлений погодинний обсяг купівлі електроенергії на Д за 5 робочих днів до Д.</w:t>
            </w:r>
          </w:p>
        </w:tc>
      </w:tr>
      <w:tr w:rsidR="00F10E49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F10E49">
            <w:pPr>
              <w:pStyle w:val="Style5"/>
              <w:widowControl/>
              <w:spacing w:line="274" w:lineRule="exact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Термін надання рахунку за спожиту</w:t>
            </w:r>
          </w:p>
          <w:p w:rsidR="00F10E49" w:rsidRPr="00583E7F" w:rsidRDefault="00F10E49" w:rsidP="00F10E49">
            <w:pPr>
              <w:pStyle w:val="Style5"/>
              <w:widowControl/>
              <w:spacing w:line="274" w:lineRule="exact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електричну енергію та термін його оплати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F10E49">
            <w:pPr>
              <w:pStyle w:val="Style1"/>
              <w:widowControl/>
              <w:spacing w:line="274" w:lineRule="exact"/>
              <w:ind w:firstLine="5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Оплата рахунка Постачальника за Договором має бути здійснена Споживачем у строки, визначені в рахунку, але не більше 5 робочих днів від дати його отримання Споживачем.</w:t>
            </w:r>
          </w:p>
        </w:tc>
      </w:tr>
      <w:tr w:rsidR="00F10E49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F10E49">
            <w:pPr>
              <w:pStyle w:val="Style5"/>
              <w:widowControl/>
              <w:spacing w:line="274" w:lineRule="exact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Розмір пені за порушення строку оплати та/або штраф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15D5C" w:rsidRPr="00583E7F" w:rsidRDefault="00F10E49" w:rsidP="00831C11">
            <w:pPr>
              <w:pStyle w:val="Style1"/>
              <w:widowControl/>
              <w:spacing w:line="274" w:lineRule="exact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За внесення платежів, передбачених умовами Договору, з порушенням термінів, визначених цією комерційною пропозицією, Споживач сплачує Постачальнику пеню у розмірі подвійної облікової ставки НБУ від суми заборгованості за кожний день прострочення платежу, враховуючи день фактичної оплати</w:t>
            </w:r>
            <w:r w:rsidR="00831C11" w:rsidRPr="00831C11">
              <w:rPr>
                <w:sz w:val="22"/>
                <w:szCs w:val="22"/>
                <w:shd w:val="clear" w:color="auto" w:fill="FFFFFF"/>
                <w:lang w:val="uk-UA"/>
              </w:rPr>
              <w:t xml:space="preserve">, 3% річних з простроченої суми. </w:t>
            </w:r>
            <w:r w:rsidR="00831C11" w:rsidRPr="00D233F2">
              <w:rPr>
                <w:sz w:val="22"/>
                <w:szCs w:val="22"/>
                <w:shd w:val="clear" w:color="auto" w:fill="FFFFFF"/>
              </w:rPr>
              <w:t>При цьому сума боргу повинна бути сплачена з урахуванням встановленого індексу інфляції.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. </w:t>
            </w:r>
          </w:p>
        </w:tc>
      </w:tr>
      <w:tr w:rsidR="00F10E49" w:rsidRPr="00910287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F10E49">
            <w:pPr>
              <w:pStyle w:val="Style5"/>
              <w:widowControl/>
              <w:spacing w:line="274" w:lineRule="exact"/>
              <w:ind w:left="250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Штраф за дострокове припинення дії договору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F10E49">
            <w:pPr>
              <w:pStyle w:val="Style7"/>
              <w:widowControl/>
              <w:spacing w:line="240" w:lineRule="auto"/>
              <w:jc w:val="both"/>
              <w:rPr>
                <w:lang w:val="uk-UA"/>
              </w:rPr>
            </w:pPr>
            <w:r w:rsidRPr="00583E7F">
              <w:rPr>
                <w:lang w:val="uk-UA"/>
              </w:rPr>
              <w:t xml:space="preserve">Розмір штрафу дорівнює вартості обсягу замовленої та неоплаченої електричної енергії за останній розрахунковий період. </w:t>
            </w:r>
          </w:p>
          <w:p w:rsidR="00F10E49" w:rsidRPr="00583E7F" w:rsidRDefault="00F10E49" w:rsidP="00F10E49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val="uk-UA" w:eastAsia="uk-UA"/>
              </w:rPr>
            </w:pPr>
          </w:p>
        </w:tc>
      </w:tr>
      <w:tr w:rsidR="00F10E49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F10E49">
            <w:pPr>
              <w:pStyle w:val="Style5"/>
              <w:widowControl/>
              <w:spacing w:line="274" w:lineRule="exact"/>
              <w:ind w:left="278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Можливість надання пільг, субсидій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10E49" w:rsidRPr="00583E7F" w:rsidRDefault="00F10E49" w:rsidP="00F10E49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Не надаються.</w:t>
            </w:r>
          </w:p>
        </w:tc>
      </w:tr>
      <w:tr w:rsidR="00CA29D2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D2" w:rsidRPr="00583E7F" w:rsidRDefault="00CA29D2" w:rsidP="00376273">
            <w:pPr>
              <w:pStyle w:val="Style5"/>
              <w:widowControl/>
              <w:spacing w:line="274" w:lineRule="exact"/>
              <w:ind w:left="278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Можливість постачання електричної енергії захищеним споживачам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A29D2" w:rsidRPr="00583E7F" w:rsidRDefault="00852538" w:rsidP="00376273">
            <w:pPr>
              <w:pStyle w:val="Style7"/>
              <w:widowControl/>
              <w:spacing w:line="240" w:lineRule="auto"/>
              <w:rPr>
                <w:rStyle w:val="FontStyle12"/>
                <w:sz w:val="24"/>
                <w:szCs w:val="24"/>
                <w:lang w:val="uk-UA" w:eastAsia="uk-UA"/>
              </w:rPr>
            </w:pPr>
            <w:r w:rsidRPr="00BF36C7">
              <w:rPr>
                <w:sz w:val="22"/>
                <w:szCs w:val="22"/>
              </w:rPr>
              <w:t>Постачання електричної енергії здійснюється відповідно до Порядку забезпечення постачання електричної енергії захищеним споживачам, затвердженого Постановою Кабінету Міністрів України від 27.12.2018 № 1209 зі змінами</w:t>
            </w:r>
            <w:r w:rsidRPr="00BF36C7">
              <w:rPr>
                <w:sz w:val="22"/>
                <w:szCs w:val="22"/>
                <w:lang w:val="uk-UA"/>
              </w:rPr>
              <w:t>.</w:t>
            </w:r>
          </w:p>
        </w:tc>
      </w:tr>
      <w:tr w:rsidR="0091004A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4A" w:rsidRPr="00583E7F" w:rsidRDefault="0091004A" w:rsidP="00F10E49">
            <w:pPr>
              <w:pStyle w:val="Style5"/>
              <w:widowControl/>
              <w:spacing w:line="274" w:lineRule="exact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Розмір компенсації Споживачу за недодержання Постачальником комерційної якості послуг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4A" w:rsidRPr="00583E7F" w:rsidRDefault="0091004A" w:rsidP="00412123">
            <w:pPr>
              <w:pStyle w:val="Style7"/>
              <w:widowControl/>
              <w:spacing w:line="274" w:lineRule="exact"/>
              <w:ind w:left="14" w:hanging="14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Компенсація за недотримання постачальником комерційної якості надання  послуг надається у порядку та розмірі, визначеному Регулятором.</w:t>
            </w:r>
          </w:p>
        </w:tc>
      </w:tr>
      <w:tr w:rsidR="0091004A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4A" w:rsidRPr="00583E7F" w:rsidRDefault="0091004A" w:rsidP="00F10E49">
            <w:pPr>
              <w:pStyle w:val="Style5"/>
              <w:widowControl/>
              <w:spacing w:line="240" w:lineRule="auto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>Строк дії договору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4A" w:rsidRDefault="00320A38" w:rsidP="00583E7F">
            <w:pPr>
              <w:pStyle w:val="Style7"/>
              <w:widowControl/>
              <w:spacing w:line="274" w:lineRule="exact"/>
              <w:ind w:left="10" w:hanging="10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Договір набирає чинності з дня, наступного за днем отримання ТОВ «ЕНЕРА </w:t>
            </w:r>
            <w:r w:rsidR="00583E7F">
              <w:rPr>
                <w:rStyle w:val="FontStyle12"/>
                <w:sz w:val="24"/>
                <w:szCs w:val="24"/>
                <w:lang w:val="uk-UA" w:eastAsia="uk-UA"/>
              </w:rPr>
              <w:t>ВІННИЦЯ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» заяви-приєднання Споживача до умов Договору про постачання електричної енергії споживачу, в якій вказано про обрання </w:t>
            </w:r>
            <w:r w:rsidR="0091004A" w:rsidRPr="00583E7F">
              <w:rPr>
                <w:rStyle w:val="FontStyle11"/>
                <w:sz w:val="24"/>
                <w:szCs w:val="24"/>
                <w:lang w:val="uk-UA" w:eastAsia="uk-UA"/>
              </w:rPr>
              <w:t>Комерційної пропозиції №</w:t>
            </w:r>
            <w:r w:rsidR="00583E7F">
              <w:rPr>
                <w:rStyle w:val="FontStyle11"/>
                <w:sz w:val="24"/>
                <w:szCs w:val="24"/>
                <w:lang w:val="uk-UA" w:eastAsia="uk-UA"/>
              </w:rPr>
              <w:t xml:space="preserve"> 1.2.</w:t>
            </w:r>
            <w:r w:rsidR="00221FD9" w:rsidRPr="00583E7F">
              <w:rPr>
                <w:rStyle w:val="FontStyle11"/>
                <w:sz w:val="24"/>
                <w:szCs w:val="24"/>
                <w:lang w:val="uk-UA" w:eastAsia="uk-UA"/>
              </w:rPr>
              <w:t>5</w:t>
            </w:r>
            <w:r w:rsidR="00583E7F">
              <w:rPr>
                <w:rStyle w:val="FontStyle11"/>
                <w:sz w:val="24"/>
                <w:szCs w:val="24"/>
                <w:lang w:val="uk-UA" w:eastAsia="uk-UA"/>
              </w:rPr>
              <w:t>.1</w:t>
            </w:r>
            <w:r w:rsidR="0091004A" w:rsidRPr="00583E7F">
              <w:rPr>
                <w:rStyle w:val="FontStyle11"/>
                <w:sz w:val="24"/>
                <w:szCs w:val="24"/>
                <w:lang w:val="uk-UA" w:eastAsia="uk-UA"/>
              </w:rPr>
              <w:t xml:space="preserve">, </w:t>
            </w:r>
            <w:r w:rsidR="0091004A" w:rsidRPr="00583E7F">
              <w:rPr>
                <w:rStyle w:val="FontStyle12"/>
                <w:sz w:val="24"/>
                <w:szCs w:val="24"/>
                <w:lang w:val="uk-UA" w:eastAsia="uk-UA"/>
              </w:rPr>
              <w:t>якщо протягом трьох робочих днів Споживачу не буде повідомлено будь-яким способом про невідповідність його критеріям обраної комерційної пропозиції. Договір діє до моменту початку постачання електричної енергії споживачу іншим Постачальником.</w:t>
            </w:r>
            <w:r w:rsidR="0091004A" w:rsidRPr="00583E7F">
              <w:rPr>
                <w:rStyle w:val="FontStyle12"/>
                <w:sz w:val="24"/>
                <w:szCs w:val="24"/>
                <w:lang w:eastAsia="uk-UA"/>
              </w:rPr>
              <w:t xml:space="preserve"> </w:t>
            </w:r>
            <w:r w:rsidR="0091004A" w:rsidRPr="00583E7F">
              <w:rPr>
                <w:rStyle w:val="FontStyle12"/>
                <w:sz w:val="24"/>
                <w:szCs w:val="24"/>
                <w:lang w:val="uk-UA" w:eastAsia="uk-UA"/>
              </w:rPr>
              <w:t>В частині розрахунків, в будь-якому разі, Договір діє до повного виконання Сторонами своїх зобов’язань. У разі, якщо на момент подання заяви-приєднання до Договору на об'єкт Споживача було припинено/призупинено постачання електричної енергії або надання послуг з розподілу (передачі) електричної енергії, то постачання здійснюється після відновлення, у встановленому законодавством порядку, надання відповідних послуг.</w:t>
            </w:r>
            <w:r w:rsidR="0091004A" w:rsidRPr="00583E7F">
              <w:rPr>
                <w:rStyle w:val="FontStyle12"/>
                <w:color w:val="0070C0"/>
                <w:sz w:val="24"/>
                <w:szCs w:val="24"/>
                <w:lang w:val="uk-UA" w:eastAsia="uk-UA"/>
              </w:rPr>
              <w:t xml:space="preserve"> </w:t>
            </w:r>
            <w:r w:rsidR="0091004A"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Дія Договору може бути припинена достроково в порядку та на підставах, що передбачені умовами Договору та чинним законодавством України. </w:t>
            </w:r>
          </w:p>
          <w:p w:rsidR="00831C11" w:rsidRPr="00583E7F" w:rsidRDefault="00831C11" w:rsidP="00831C11">
            <w:pPr>
              <w:pStyle w:val="Style7"/>
              <w:widowControl/>
              <w:spacing w:line="274" w:lineRule="exact"/>
              <w:ind w:left="10" w:hanging="10"/>
              <w:jc w:val="both"/>
              <w:rPr>
                <w:rStyle w:val="FontStyle12"/>
                <w:sz w:val="24"/>
                <w:szCs w:val="24"/>
                <w:lang w:val="uk-UA" w:eastAsia="uk-UA"/>
              </w:rPr>
            </w:pPr>
            <w:r w:rsidRPr="00610E94">
              <w:rPr>
                <w:sz w:val="22"/>
                <w:szCs w:val="22"/>
                <w:lang w:val="uk-UA"/>
              </w:rPr>
              <w:t xml:space="preserve">Керуючись ч. 3 ст. 631 Цивільного кодексу України,  Сторони домовились, що умови даного Договору  застосовуються до відносин між Сторонами, які виникли до укладання Договору, </w:t>
            </w:r>
            <w:r>
              <w:rPr>
                <w:b/>
                <w:sz w:val="22"/>
                <w:szCs w:val="22"/>
                <w:lang w:val="uk-UA"/>
              </w:rPr>
              <w:t xml:space="preserve">з «____»______________ 20____ </w:t>
            </w:r>
            <w:r w:rsidRPr="00610E94">
              <w:rPr>
                <w:b/>
                <w:sz w:val="22"/>
                <w:szCs w:val="22"/>
                <w:lang w:val="uk-UA"/>
              </w:rPr>
              <w:t>року.</w:t>
            </w:r>
          </w:p>
        </w:tc>
      </w:tr>
      <w:tr w:rsidR="00BD55F3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5F3" w:rsidRPr="00583E7F" w:rsidRDefault="00BD55F3" w:rsidP="00BD55F3">
            <w:pPr>
              <w:pStyle w:val="Style5"/>
              <w:widowControl/>
              <w:spacing w:line="240" w:lineRule="auto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t xml:space="preserve">Оплата послуг з передачі/розподілу 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D55F3" w:rsidRPr="00583E7F" w:rsidRDefault="00BD55F3" w:rsidP="00250C17">
            <w:pPr>
              <w:pStyle w:val="Style7"/>
              <w:widowControl/>
              <w:spacing w:line="274" w:lineRule="exact"/>
              <w:ind w:left="10" w:hanging="10"/>
              <w:jc w:val="both"/>
              <w:rPr>
                <w:rStyle w:val="FontStyle12"/>
                <w:sz w:val="24"/>
                <w:szCs w:val="24"/>
              </w:rPr>
            </w:pP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Послуги з розподілу сплачуються Споживачем </w:t>
            </w:r>
            <w:r w:rsidR="00250C17" w:rsidRPr="00583E7F">
              <w:rPr>
                <w:rStyle w:val="FontStyle12"/>
                <w:sz w:val="24"/>
                <w:szCs w:val="24"/>
                <w:lang w:val="uk-UA" w:eastAsia="uk-UA"/>
              </w:rPr>
              <w:t xml:space="preserve">через Постачальника з наступним переведенням цієї оплати </w:t>
            </w:r>
            <w:r w:rsidRPr="00583E7F">
              <w:rPr>
                <w:rStyle w:val="FontStyle12"/>
                <w:sz w:val="24"/>
                <w:szCs w:val="24"/>
                <w:lang w:val="uk-UA" w:eastAsia="uk-UA"/>
              </w:rPr>
              <w:t>відповідному оператору системи розподілу. Послуги з передачі сплачуються Споживачем через Постачальника з наступним переведенням цієї оплати Постачальником оператору системи передачі.</w:t>
            </w:r>
          </w:p>
        </w:tc>
      </w:tr>
      <w:tr w:rsidR="00852538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38" w:rsidRPr="00631351" w:rsidRDefault="00852538" w:rsidP="002A10CF">
            <w:pPr>
              <w:pStyle w:val="Style5"/>
              <w:widowControl/>
              <w:spacing w:line="240" w:lineRule="auto"/>
              <w:rPr>
                <w:rStyle w:val="FontStyle11"/>
                <w:b w:val="0"/>
                <w:lang w:eastAsia="uk-UA"/>
              </w:rPr>
            </w:pPr>
            <w:r w:rsidRPr="00631351">
              <w:rPr>
                <w:rStyle w:val="FontStyle11"/>
                <w:lang w:val="uk-UA" w:eastAsia="uk-UA"/>
              </w:rPr>
              <w:t>Електронний документообіг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38" w:rsidRPr="00DD7921" w:rsidRDefault="00852538" w:rsidP="002A10CF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 xml:space="preserve">Обмін документами здійснюється з застосуванням положень Закону України «Про електронні документи та електронний документообіг», Закону України «Про </w:t>
            </w:r>
            <w:r w:rsidRPr="00DD7921">
              <w:rPr>
                <w:rStyle w:val="FontStyle12"/>
                <w:lang w:val="uk-UA" w:eastAsia="uk-UA"/>
              </w:rPr>
              <w:lastRenderedPageBreak/>
              <w:t>електронні довірчі послуги».</w:t>
            </w:r>
          </w:p>
          <w:p w:rsidR="00852538" w:rsidRPr="00DD7921" w:rsidRDefault="00852538" w:rsidP="002A10CF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>Надсилання рахунків, актів прийняття-передавання товарної продукції – активної електричної енергії, актів звіряння рахунків, (далі – електронні документи) здійснюється в формі електронних документів.</w:t>
            </w:r>
          </w:p>
          <w:p w:rsidR="00852538" w:rsidRPr="00DD7921" w:rsidRDefault="00852538" w:rsidP="002A10CF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>Підписання документів здійснюється з обов'язковим нанесенням кваліфікованого електронного підпису та/або печатки (далі – КЕП).</w:t>
            </w:r>
          </w:p>
          <w:p w:rsidR="00852538" w:rsidRPr="00DD7921" w:rsidRDefault="00852538" w:rsidP="002A10CF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>Датою і часом відправлення електронного документа вважаються дата і час, коли відправлення електронного документа не може бути скасовано відповідальною особою, яка його відправила.</w:t>
            </w:r>
          </w:p>
          <w:p w:rsidR="00852538" w:rsidRPr="00DD7921" w:rsidRDefault="00852538" w:rsidP="002A10CF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 xml:space="preserve">Електронні документи вважаються отриманими Споживачем в день його відправлення Постачальником і набирають чинності в цей самий день у разі, якщо протягом трьох робочих днів від його отримання Споживач не надіслав Постачальнику мотивованої відмови від даного пакету електронних документів.  </w:t>
            </w:r>
          </w:p>
          <w:p w:rsidR="00852538" w:rsidRPr="00DD7921" w:rsidRDefault="00852538" w:rsidP="002A10CF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>Протягом трьох робочих днів електронні документи, надіслані Споживачу Постачальником, підписуються з використанням КЕП і надсилаються Споживачем Постачальнику.</w:t>
            </w:r>
          </w:p>
          <w:p w:rsidR="00852538" w:rsidRPr="00DD7921" w:rsidRDefault="00852538" w:rsidP="002A10CF">
            <w:pPr>
              <w:jc w:val="both"/>
              <w:rPr>
                <w:rStyle w:val="FontStyle12"/>
                <w:lang w:val="uk-UA" w:eastAsia="uk-UA"/>
              </w:rPr>
            </w:pPr>
            <w:r w:rsidRPr="00DD7921">
              <w:rPr>
                <w:rStyle w:val="FontStyle12"/>
                <w:lang w:val="uk-UA" w:eastAsia="uk-UA"/>
              </w:rPr>
              <w:t>Сторони визнають, що електронні документи, підписані з використанням КЕП та передані через систему електронного документообігу, мають повну юридичну силу, породжують права та обов’язки для Сторін, можуть бути представлені до суду в якості належних доказів та ідентичні за змістом та реквізитами з документами в письмовому вигляді на паперових носіях.</w:t>
            </w:r>
          </w:p>
        </w:tc>
      </w:tr>
      <w:tr w:rsidR="0091004A" w:rsidRPr="00583E7F" w:rsidTr="0091004A">
        <w:tc>
          <w:tcPr>
            <w:tcW w:w="25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004A" w:rsidRPr="00583E7F" w:rsidRDefault="0091004A" w:rsidP="00AA478E">
            <w:pPr>
              <w:pStyle w:val="Style5"/>
              <w:widowControl/>
              <w:spacing w:line="240" w:lineRule="auto"/>
              <w:rPr>
                <w:rStyle w:val="FontStyle11"/>
                <w:sz w:val="24"/>
                <w:szCs w:val="24"/>
                <w:lang w:val="uk-UA" w:eastAsia="uk-UA"/>
              </w:rPr>
            </w:pPr>
            <w:r w:rsidRPr="00583E7F">
              <w:rPr>
                <w:rStyle w:val="FontStyle11"/>
                <w:sz w:val="24"/>
                <w:szCs w:val="24"/>
                <w:lang w:val="uk-UA" w:eastAsia="uk-UA"/>
              </w:rPr>
              <w:lastRenderedPageBreak/>
              <w:t>Інші умови</w:t>
            </w:r>
          </w:p>
        </w:tc>
        <w:tc>
          <w:tcPr>
            <w:tcW w:w="78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2538" w:rsidRPr="00BF36C7" w:rsidRDefault="00852538" w:rsidP="00852538">
            <w:pPr>
              <w:jc w:val="both"/>
              <w:rPr>
                <w:sz w:val="22"/>
                <w:szCs w:val="22"/>
                <w:lang w:val="uk-UA"/>
              </w:rPr>
            </w:pPr>
            <w:r w:rsidRPr="00BF36C7">
              <w:rPr>
                <w:sz w:val="22"/>
                <w:szCs w:val="22"/>
                <w:lang w:val="uk-UA"/>
              </w:rPr>
              <w:t xml:space="preserve">Інформування Споживача, з яким укладено Договір, про зміни в умовах Договору, про закінчення терміну дії, зміну тарифів, суми до сплати по рахунках, виставлених згідно з умовами Договору, строки їх оплати, про відключення за несплачену заборгованість, іншу інформацію, яка стосується взаємовідносин Сторін або може бути корисною для Споживача, може здійснюватися шляхом направлення відповідної інформації: </w:t>
            </w:r>
          </w:p>
          <w:p w:rsidR="00852538" w:rsidRPr="00BF36C7" w:rsidRDefault="00852538" w:rsidP="00852538">
            <w:pPr>
              <w:jc w:val="both"/>
              <w:rPr>
                <w:color w:val="000000"/>
                <w:sz w:val="22"/>
                <w:szCs w:val="22"/>
              </w:rPr>
            </w:pPr>
            <w:r w:rsidRPr="00BF36C7">
              <w:rPr>
                <w:sz w:val="22"/>
                <w:szCs w:val="22"/>
              </w:rPr>
              <w:t xml:space="preserve">- через </w:t>
            </w:r>
            <w:r w:rsidRPr="00BF36C7">
              <w:rPr>
                <w:color w:val="000000" w:themeColor="text1"/>
                <w:sz w:val="22"/>
                <w:szCs w:val="22"/>
              </w:rPr>
              <w:t>особистий кабінет на своєму офіційному сайті у мережі Інтернет,</w:t>
            </w:r>
          </w:p>
          <w:p w:rsidR="00852538" w:rsidRPr="00BF36C7" w:rsidRDefault="00852538" w:rsidP="00852538">
            <w:pPr>
              <w:jc w:val="both"/>
              <w:rPr>
                <w:color w:val="000000"/>
                <w:sz w:val="22"/>
                <w:szCs w:val="22"/>
              </w:rPr>
            </w:pPr>
            <w:r w:rsidRPr="00BF36C7">
              <w:rPr>
                <w:color w:val="000000" w:themeColor="text1"/>
                <w:sz w:val="22"/>
                <w:szCs w:val="22"/>
              </w:rPr>
              <w:t xml:space="preserve">-засобами електронного зв'язку на електронну адресу, вказану у заяві-приєднання до умов договору, </w:t>
            </w:r>
          </w:p>
          <w:p w:rsidR="00852538" w:rsidRPr="00BF36C7" w:rsidRDefault="00852538" w:rsidP="00852538">
            <w:pPr>
              <w:jc w:val="both"/>
              <w:rPr>
                <w:color w:val="000000"/>
                <w:sz w:val="22"/>
                <w:szCs w:val="22"/>
              </w:rPr>
            </w:pPr>
            <w:r w:rsidRPr="00BF36C7">
              <w:rPr>
                <w:color w:val="000000" w:themeColor="text1"/>
                <w:sz w:val="22"/>
                <w:szCs w:val="22"/>
              </w:rPr>
              <w:t xml:space="preserve">- на поштову адресу місця реєстрації юридичної особи, </w:t>
            </w:r>
          </w:p>
          <w:p w:rsidR="00852538" w:rsidRPr="00BF36C7" w:rsidRDefault="00852538" w:rsidP="00852538">
            <w:pPr>
              <w:jc w:val="both"/>
              <w:rPr>
                <w:color w:val="000000"/>
                <w:sz w:val="22"/>
                <w:szCs w:val="22"/>
              </w:rPr>
            </w:pPr>
            <w:r w:rsidRPr="00BF36C7">
              <w:rPr>
                <w:color w:val="000000" w:themeColor="text1"/>
                <w:sz w:val="22"/>
                <w:szCs w:val="22"/>
              </w:rPr>
              <w:t xml:space="preserve">-СМС-повідомленням на номер, зазначений у заяві-приєднання до умов договору, </w:t>
            </w:r>
          </w:p>
          <w:p w:rsidR="00852538" w:rsidRPr="00BF36C7" w:rsidRDefault="00852538" w:rsidP="00852538">
            <w:pPr>
              <w:jc w:val="both"/>
              <w:rPr>
                <w:color w:val="000000"/>
                <w:sz w:val="22"/>
                <w:szCs w:val="22"/>
              </w:rPr>
            </w:pPr>
            <w:r w:rsidRPr="00BF36C7">
              <w:rPr>
                <w:color w:val="000000" w:themeColor="text1"/>
                <w:sz w:val="22"/>
                <w:szCs w:val="22"/>
              </w:rPr>
              <w:t>-в центрах обслуговування споживачів.</w:t>
            </w:r>
          </w:p>
          <w:p w:rsidR="00852538" w:rsidRPr="00BF36C7" w:rsidRDefault="00852538" w:rsidP="00852538">
            <w:pPr>
              <w:jc w:val="both"/>
              <w:rPr>
                <w:color w:val="000000"/>
                <w:sz w:val="22"/>
                <w:szCs w:val="22"/>
              </w:rPr>
            </w:pPr>
            <w:r w:rsidRPr="00BF36C7">
              <w:rPr>
                <w:color w:val="000000" w:themeColor="text1"/>
                <w:sz w:val="22"/>
                <w:szCs w:val="22"/>
              </w:rPr>
              <w:t>Датою отримання таких повідомлень та платіжних документів буде вважатися дата їх особистого вручення або третій календарний день від дати отримання поштовим відділенням зв'язку, у якому обслуговується одержувач.</w:t>
            </w:r>
          </w:p>
          <w:p w:rsidR="0091004A" w:rsidRPr="00852538" w:rsidRDefault="0091004A" w:rsidP="00AA478E">
            <w:pPr>
              <w:pStyle w:val="Style6"/>
              <w:widowControl/>
              <w:tabs>
                <w:tab w:val="left" w:pos="451"/>
              </w:tabs>
              <w:spacing w:line="274" w:lineRule="exact"/>
              <w:rPr>
                <w:rStyle w:val="FontStyle12"/>
                <w:sz w:val="24"/>
                <w:szCs w:val="24"/>
              </w:rPr>
            </w:pPr>
          </w:p>
        </w:tc>
      </w:tr>
    </w:tbl>
    <w:p w:rsidR="00376B29" w:rsidRDefault="00376B29" w:rsidP="00830538">
      <w:pPr>
        <w:widowControl/>
        <w:rPr>
          <w:rStyle w:val="FontStyle12"/>
          <w:sz w:val="24"/>
          <w:szCs w:val="24"/>
          <w:lang w:val="uk-UA" w:eastAsia="uk-UA"/>
        </w:rPr>
      </w:pPr>
    </w:p>
    <w:tbl>
      <w:tblPr>
        <w:tblStyle w:val="ae"/>
        <w:tblW w:w="10491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51"/>
        <w:gridCol w:w="5440"/>
      </w:tblGrid>
      <w:tr w:rsidR="000222BA" w:rsidRPr="00E13BC0" w:rsidTr="00476F6C">
        <w:trPr>
          <w:trHeight w:val="216"/>
        </w:trPr>
        <w:tc>
          <w:tcPr>
            <w:tcW w:w="5051" w:type="dxa"/>
          </w:tcPr>
          <w:p w:rsidR="000222BA" w:rsidRDefault="000222BA" w:rsidP="00476F6C">
            <w:pPr>
              <w:pStyle w:val="aa"/>
              <w:spacing w:before="0" w:after="0"/>
              <w:rPr>
                <w:b/>
                <w:bCs/>
                <w:color w:val="000000" w:themeColor="text1"/>
                <w:lang w:val="uk-UA"/>
              </w:rPr>
            </w:pPr>
          </w:p>
          <w:p w:rsidR="000222BA" w:rsidRPr="00E13BC0" w:rsidRDefault="000222BA" w:rsidP="00476F6C">
            <w:pPr>
              <w:pStyle w:val="aa"/>
              <w:spacing w:before="0" w:after="0"/>
              <w:rPr>
                <w:color w:val="000000" w:themeColor="text1"/>
                <w:lang w:val="uk-UA"/>
              </w:rPr>
            </w:pPr>
            <w:r w:rsidRPr="00E13BC0">
              <w:rPr>
                <w:b/>
                <w:bCs/>
                <w:color w:val="000000" w:themeColor="text1"/>
                <w:lang w:val="uk-UA"/>
              </w:rPr>
              <w:t>Постачальник:</w:t>
            </w:r>
          </w:p>
        </w:tc>
        <w:tc>
          <w:tcPr>
            <w:tcW w:w="5440" w:type="dxa"/>
          </w:tcPr>
          <w:p w:rsidR="000222BA" w:rsidRDefault="000222BA" w:rsidP="00476F6C">
            <w:pPr>
              <w:pStyle w:val="aa"/>
              <w:spacing w:before="0" w:after="0"/>
              <w:ind w:left="1332" w:hanging="1086"/>
              <w:rPr>
                <w:b/>
                <w:bCs/>
                <w:color w:val="000000" w:themeColor="text1"/>
                <w:lang w:val="uk-UA"/>
              </w:rPr>
            </w:pPr>
          </w:p>
          <w:p w:rsidR="000222BA" w:rsidRPr="00E13BC0" w:rsidRDefault="000222BA" w:rsidP="00476F6C">
            <w:pPr>
              <w:pStyle w:val="aa"/>
              <w:spacing w:before="0" w:after="0"/>
              <w:ind w:left="1332" w:hanging="1086"/>
              <w:rPr>
                <w:color w:val="000000" w:themeColor="text1"/>
                <w:lang w:val="uk-UA"/>
              </w:rPr>
            </w:pPr>
            <w:r w:rsidRPr="00E13BC0">
              <w:rPr>
                <w:b/>
                <w:bCs/>
                <w:color w:val="000000" w:themeColor="text1"/>
                <w:lang w:val="uk-UA"/>
              </w:rPr>
              <w:t>Споживач:</w:t>
            </w:r>
          </w:p>
        </w:tc>
      </w:tr>
      <w:tr w:rsidR="000222BA" w:rsidRPr="00E13BC0" w:rsidTr="00476F6C">
        <w:trPr>
          <w:trHeight w:val="432"/>
        </w:trPr>
        <w:tc>
          <w:tcPr>
            <w:tcW w:w="5051" w:type="dxa"/>
          </w:tcPr>
          <w:p w:rsidR="000222BA" w:rsidRPr="00E13BC0" w:rsidRDefault="000222BA" w:rsidP="00476F6C">
            <w:pPr>
              <w:suppressAutoHyphens/>
              <w:jc w:val="both"/>
              <w:rPr>
                <w:b/>
                <w:color w:val="000000" w:themeColor="text1"/>
                <w:lang w:val="uk-UA"/>
              </w:rPr>
            </w:pPr>
            <w:r w:rsidRPr="00E13BC0">
              <w:rPr>
                <w:b/>
                <w:color w:val="000000" w:themeColor="text1"/>
                <w:lang w:val="uk-UA"/>
              </w:rPr>
              <w:t>ТОВ «ЕНЕРА ВІННИЦЯ»</w:t>
            </w:r>
          </w:p>
          <w:p w:rsidR="000222BA" w:rsidRPr="00E13BC0" w:rsidRDefault="000222BA" w:rsidP="00476F6C">
            <w:pPr>
              <w:pStyle w:val="aa"/>
              <w:spacing w:before="0" w:after="0"/>
              <w:rPr>
                <w:b/>
                <w:bCs/>
                <w:color w:val="000000" w:themeColor="text1"/>
                <w:lang w:val="uk-UA"/>
              </w:rPr>
            </w:pPr>
          </w:p>
        </w:tc>
        <w:tc>
          <w:tcPr>
            <w:tcW w:w="5440" w:type="dxa"/>
          </w:tcPr>
          <w:p w:rsidR="000222BA" w:rsidRPr="00E13BC0" w:rsidRDefault="000222BA" w:rsidP="00476F6C">
            <w:pPr>
              <w:widowControl/>
              <w:shd w:val="clear" w:color="auto" w:fill="FFFFFF"/>
              <w:autoSpaceDE/>
              <w:autoSpaceDN/>
              <w:adjustRightInd/>
              <w:ind w:firstLine="229"/>
              <w:outlineLvl w:val="1"/>
              <w:rPr>
                <w:rFonts w:ascii="Helvetica" w:hAnsi="Helvetica" w:cs="Helvetica"/>
                <w:b/>
                <w:bCs/>
                <w:color w:val="000000" w:themeColor="text1"/>
                <w:sz w:val="33"/>
                <w:szCs w:val="33"/>
              </w:rPr>
            </w:pPr>
            <w:r w:rsidRPr="00E13BC0">
              <w:rPr>
                <w:b/>
                <w:bCs/>
                <w:color w:val="000000" w:themeColor="text1"/>
                <w:lang w:val="uk-UA"/>
              </w:rPr>
              <w:t>______________________________________</w:t>
            </w:r>
          </w:p>
          <w:p w:rsidR="000222BA" w:rsidRPr="00E13BC0" w:rsidRDefault="000222BA" w:rsidP="00476F6C">
            <w:pPr>
              <w:pStyle w:val="aa"/>
              <w:spacing w:before="0" w:after="0"/>
              <w:ind w:left="1332"/>
              <w:rPr>
                <w:color w:val="000000" w:themeColor="text1"/>
                <w:lang w:val="uk-UA"/>
              </w:rPr>
            </w:pPr>
          </w:p>
        </w:tc>
      </w:tr>
      <w:tr w:rsidR="000222BA" w:rsidRPr="00E13BC0" w:rsidTr="00476F6C">
        <w:trPr>
          <w:trHeight w:val="595"/>
        </w:trPr>
        <w:tc>
          <w:tcPr>
            <w:tcW w:w="5051" w:type="dxa"/>
          </w:tcPr>
          <w:p w:rsidR="000222BA" w:rsidRPr="00E13BC0" w:rsidRDefault="000222BA" w:rsidP="00476F6C">
            <w:pPr>
              <w:pStyle w:val="aa"/>
              <w:spacing w:before="0" w:after="0"/>
              <w:rPr>
                <w:b/>
                <w:color w:val="000000" w:themeColor="text1"/>
              </w:rPr>
            </w:pPr>
            <w:r w:rsidRPr="00E13BC0">
              <w:rPr>
                <w:b/>
                <w:color w:val="000000" w:themeColor="text1"/>
              </w:rPr>
              <w:t>Директор</w:t>
            </w:r>
            <w:r w:rsidRPr="00E13BC0">
              <w:rPr>
                <w:color w:val="000000" w:themeColor="text1"/>
              </w:rPr>
              <w:t xml:space="preserve"> __________________</w:t>
            </w:r>
            <w:r>
              <w:rPr>
                <w:b/>
                <w:color w:val="000000" w:themeColor="text1"/>
              </w:rPr>
              <w:t>О.</w:t>
            </w:r>
            <w:r w:rsidRPr="00E13BC0">
              <w:rPr>
                <w:b/>
                <w:color w:val="000000" w:themeColor="text1"/>
              </w:rPr>
              <w:t>І. Близнюк</w:t>
            </w:r>
          </w:p>
          <w:p w:rsidR="000222BA" w:rsidRPr="00E13BC0" w:rsidRDefault="000222BA" w:rsidP="00476F6C">
            <w:pPr>
              <w:suppressAutoHyphens/>
              <w:jc w:val="both"/>
              <w:rPr>
                <w:b/>
                <w:color w:val="000000" w:themeColor="text1"/>
                <w:lang w:val="uk-UA"/>
              </w:rPr>
            </w:pPr>
            <w:r w:rsidRPr="00E13BC0">
              <w:rPr>
                <w:color w:val="000000" w:themeColor="text1"/>
                <w:sz w:val="20"/>
                <w:szCs w:val="20"/>
                <w:lang w:val="uk-UA"/>
              </w:rPr>
              <w:t xml:space="preserve">                      (підпис)</w:t>
            </w:r>
          </w:p>
        </w:tc>
        <w:tc>
          <w:tcPr>
            <w:tcW w:w="5440" w:type="dxa"/>
          </w:tcPr>
          <w:p w:rsidR="000222BA" w:rsidRPr="00E13BC0" w:rsidRDefault="000222BA" w:rsidP="00476F6C">
            <w:pPr>
              <w:pStyle w:val="aa"/>
              <w:spacing w:before="0" w:after="0"/>
              <w:ind w:left="1332" w:hanging="1101"/>
              <w:rPr>
                <w:b/>
                <w:color w:val="000000" w:themeColor="text1"/>
                <w:lang w:val="uk-UA"/>
              </w:rPr>
            </w:pPr>
            <w:r w:rsidRPr="00E13BC0">
              <w:rPr>
                <w:b/>
                <w:color w:val="000000" w:themeColor="text1"/>
                <w:lang w:val="uk-UA"/>
              </w:rPr>
              <w:t>___________________________________</w:t>
            </w:r>
          </w:p>
          <w:p w:rsidR="000222BA" w:rsidRPr="00E13BC0" w:rsidRDefault="000222BA" w:rsidP="00476F6C">
            <w:pPr>
              <w:pStyle w:val="aa"/>
              <w:spacing w:before="0" w:after="0"/>
              <w:ind w:left="1332" w:hanging="1101"/>
              <w:rPr>
                <w:b/>
                <w:bCs/>
                <w:color w:val="000000" w:themeColor="text1"/>
                <w:lang w:val="uk-UA"/>
              </w:rPr>
            </w:pPr>
            <w:r w:rsidRPr="00E13BC0">
              <w:rPr>
                <w:color w:val="000000" w:themeColor="text1"/>
                <w:sz w:val="20"/>
                <w:szCs w:val="20"/>
                <w:lang w:val="uk-UA"/>
              </w:rPr>
              <w:t xml:space="preserve">                                  (підпис)</w:t>
            </w:r>
          </w:p>
        </w:tc>
      </w:tr>
      <w:tr w:rsidR="000222BA" w:rsidRPr="00583430" w:rsidTr="00476F6C">
        <w:trPr>
          <w:trHeight w:val="228"/>
        </w:trPr>
        <w:tc>
          <w:tcPr>
            <w:tcW w:w="5051" w:type="dxa"/>
          </w:tcPr>
          <w:p w:rsidR="000222BA" w:rsidRPr="00E13BC0" w:rsidRDefault="000222BA" w:rsidP="00476F6C">
            <w:pPr>
              <w:suppressAutoHyphens/>
              <w:jc w:val="both"/>
              <w:rPr>
                <w:b/>
                <w:color w:val="000000" w:themeColor="text1"/>
                <w:lang w:val="uk-UA"/>
              </w:rPr>
            </w:pPr>
            <w:r w:rsidRPr="00E13BC0">
              <w:rPr>
                <w:color w:val="000000" w:themeColor="text1"/>
                <w:lang w:val="uk-UA"/>
              </w:rPr>
              <w:t>М.П.       «____»_________ 20__ року</w:t>
            </w:r>
          </w:p>
        </w:tc>
        <w:tc>
          <w:tcPr>
            <w:tcW w:w="5440" w:type="dxa"/>
          </w:tcPr>
          <w:p w:rsidR="000222BA" w:rsidRPr="00583430" w:rsidRDefault="000222BA" w:rsidP="00476F6C">
            <w:pPr>
              <w:pStyle w:val="aa"/>
              <w:spacing w:before="0" w:after="0"/>
              <w:ind w:left="1332" w:hanging="1086"/>
              <w:rPr>
                <w:b/>
                <w:bCs/>
                <w:color w:val="000000" w:themeColor="text1"/>
                <w:lang w:val="uk-UA"/>
              </w:rPr>
            </w:pPr>
            <w:r w:rsidRPr="00E13BC0">
              <w:rPr>
                <w:color w:val="000000" w:themeColor="text1"/>
                <w:lang w:val="uk-UA"/>
              </w:rPr>
              <w:t>М.П.       «____»_________ 20__ року</w:t>
            </w:r>
          </w:p>
        </w:tc>
      </w:tr>
    </w:tbl>
    <w:p w:rsidR="00852538" w:rsidRPr="00852538" w:rsidRDefault="00852538" w:rsidP="000222BA">
      <w:pPr>
        <w:widowControl/>
        <w:rPr>
          <w:rStyle w:val="FontStyle12"/>
          <w:b/>
          <w:sz w:val="24"/>
          <w:szCs w:val="24"/>
          <w:lang w:val="uk-UA" w:eastAsia="uk-UA"/>
        </w:rPr>
      </w:pPr>
    </w:p>
    <w:sectPr w:rsidR="00852538" w:rsidRPr="00852538" w:rsidSect="00830538">
      <w:type w:val="continuous"/>
      <w:pgSz w:w="11905" w:h="16837"/>
      <w:pgMar w:top="299" w:right="703" w:bottom="284" w:left="1419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3B9C" w:rsidRDefault="00FC3B9C">
      <w:r>
        <w:separator/>
      </w:r>
    </w:p>
  </w:endnote>
  <w:endnote w:type="continuationSeparator" w:id="0">
    <w:p w:rsidR="00FC3B9C" w:rsidRDefault="00FC3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3B9C" w:rsidRDefault="00FC3B9C">
      <w:r>
        <w:separator/>
      </w:r>
    </w:p>
  </w:footnote>
  <w:footnote w:type="continuationSeparator" w:id="0">
    <w:p w:rsidR="00FC3B9C" w:rsidRDefault="00FC3B9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48F"/>
    <w:rsid w:val="0000332E"/>
    <w:rsid w:val="00005548"/>
    <w:rsid w:val="000122EF"/>
    <w:rsid w:val="000222BA"/>
    <w:rsid w:val="00043C29"/>
    <w:rsid w:val="00051422"/>
    <w:rsid w:val="00052DE1"/>
    <w:rsid w:val="00057C40"/>
    <w:rsid w:val="000618E2"/>
    <w:rsid w:val="00085343"/>
    <w:rsid w:val="000B0AAE"/>
    <w:rsid w:val="000D13B5"/>
    <w:rsid w:val="000D1AB2"/>
    <w:rsid w:val="000D7484"/>
    <w:rsid w:val="00113343"/>
    <w:rsid w:val="00117262"/>
    <w:rsid w:val="001463C9"/>
    <w:rsid w:val="001A4A64"/>
    <w:rsid w:val="001B1F27"/>
    <w:rsid w:val="001C1900"/>
    <w:rsid w:val="001C6FA8"/>
    <w:rsid w:val="001E09C2"/>
    <w:rsid w:val="001E0CC7"/>
    <w:rsid w:val="001F1072"/>
    <w:rsid w:val="001F6B44"/>
    <w:rsid w:val="00206469"/>
    <w:rsid w:val="00210F51"/>
    <w:rsid w:val="0021169A"/>
    <w:rsid w:val="00221FD9"/>
    <w:rsid w:val="00250C17"/>
    <w:rsid w:val="00261543"/>
    <w:rsid w:val="00266475"/>
    <w:rsid w:val="00282BFC"/>
    <w:rsid w:val="002A4D25"/>
    <w:rsid w:val="002B0180"/>
    <w:rsid w:val="002C0E83"/>
    <w:rsid w:val="002C5AE7"/>
    <w:rsid w:val="002C729E"/>
    <w:rsid w:val="002E4C52"/>
    <w:rsid w:val="002F1FFB"/>
    <w:rsid w:val="002F241A"/>
    <w:rsid w:val="00320A38"/>
    <w:rsid w:val="00321F15"/>
    <w:rsid w:val="00357DD1"/>
    <w:rsid w:val="003661EB"/>
    <w:rsid w:val="00376B29"/>
    <w:rsid w:val="00385F99"/>
    <w:rsid w:val="003C2C23"/>
    <w:rsid w:val="003D021B"/>
    <w:rsid w:val="004001F1"/>
    <w:rsid w:val="00412123"/>
    <w:rsid w:val="00413F02"/>
    <w:rsid w:val="00435AD5"/>
    <w:rsid w:val="00437233"/>
    <w:rsid w:val="00445386"/>
    <w:rsid w:val="004509C3"/>
    <w:rsid w:val="00455D7A"/>
    <w:rsid w:val="004724CD"/>
    <w:rsid w:val="00476E8B"/>
    <w:rsid w:val="0049256A"/>
    <w:rsid w:val="004A3194"/>
    <w:rsid w:val="004B56DF"/>
    <w:rsid w:val="004E1299"/>
    <w:rsid w:val="004E2DBE"/>
    <w:rsid w:val="00553813"/>
    <w:rsid w:val="00561C17"/>
    <w:rsid w:val="00582DD2"/>
    <w:rsid w:val="00583E7F"/>
    <w:rsid w:val="00596AFA"/>
    <w:rsid w:val="005A227B"/>
    <w:rsid w:val="005A62F6"/>
    <w:rsid w:val="005C483A"/>
    <w:rsid w:val="005E5EA7"/>
    <w:rsid w:val="005F6C8E"/>
    <w:rsid w:val="0060782C"/>
    <w:rsid w:val="00617B52"/>
    <w:rsid w:val="00637113"/>
    <w:rsid w:val="00650A49"/>
    <w:rsid w:val="00664F13"/>
    <w:rsid w:val="00665A26"/>
    <w:rsid w:val="006906DC"/>
    <w:rsid w:val="006C246D"/>
    <w:rsid w:val="006D65BA"/>
    <w:rsid w:val="006F40EB"/>
    <w:rsid w:val="006F56D8"/>
    <w:rsid w:val="0070140E"/>
    <w:rsid w:val="00710CED"/>
    <w:rsid w:val="00731C7A"/>
    <w:rsid w:val="007400C7"/>
    <w:rsid w:val="00747772"/>
    <w:rsid w:val="00774349"/>
    <w:rsid w:val="00790C26"/>
    <w:rsid w:val="007A5226"/>
    <w:rsid w:val="007C65C1"/>
    <w:rsid w:val="007D1543"/>
    <w:rsid w:val="007E68E4"/>
    <w:rsid w:val="007F01B0"/>
    <w:rsid w:val="007F1094"/>
    <w:rsid w:val="007F648F"/>
    <w:rsid w:val="0080610B"/>
    <w:rsid w:val="00815D5C"/>
    <w:rsid w:val="00820AEF"/>
    <w:rsid w:val="00830538"/>
    <w:rsid w:val="00831C11"/>
    <w:rsid w:val="00831ECE"/>
    <w:rsid w:val="00852538"/>
    <w:rsid w:val="0085577A"/>
    <w:rsid w:val="008630F0"/>
    <w:rsid w:val="00893132"/>
    <w:rsid w:val="008B0BDA"/>
    <w:rsid w:val="008B7174"/>
    <w:rsid w:val="008C5880"/>
    <w:rsid w:val="008D57F0"/>
    <w:rsid w:val="00902AD1"/>
    <w:rsid w:val="0091004A"/>
    <w:rsid w:val="00910287"/>
    <w:rsid w:val="00914857"/>
    <w:rsid w:val="009200D0"/>
    <w:rsid w:val="00922CB4"/>
    <w:rsid w:val="00934398"/>
    <w:rsid w:val="00934D1B"/>
    <w:rsid w:val="009365B9"/>
    <w:rsid w:val="00946130"/>
    <w:rsid w:val="009461C8"/>
    <w:rsid w:val="009545A7"/>
    <w:rsid w:val="00956ABA"/>
    <w:rsid w:val="00965784"/>
    <w:rsid w:val="00965EA5"/>
    <w:rsid w:val="00983D0E"/>
    <w:rsid w:val="00985B76"/>
    <w:rsid w:val="00996D73"/>
    <w:rsid w:val="009B0EEA"/>
    <w:rsid w:val="009C3D28"/>
    <w:rsid w:val="009F35F0"/>
    <w:rsid w:val="00A00D4E"/>
    <w:rsid w:val="00A074FA"/>
    <w:rsid w:val="00A1108D"/>
    <w:rsid w:val="00A42208"/>
    <w:rsid w:val="00A52B0C"/>
    <w:rsid w:val="00A52F4C"/>
    <w:rsid w:val="00A8688E"/>
    <w:rsid w:val="00AA478E"/>
    <w:rsid w:val="00AA4BAA"/>
    <w:rsid w:val="00AB7D9C"/>
    <w:rsid w:val="00AD7F98"/>
    <w:rsid w:val="00B01FF0"/>
    <w:rsid w:val="00B02160"/>
    <w:rsid w:val="00B15D7D"/>
    <w:rsid w:val="00B20D23"/>
    <w:rsid w:val="00B3246F"/>
    <w:rsid w:val="00B347F2"/>
    <w:rsid w:val="00B424DA"/>
    <w:rsid w:val="00B67869"/>
    <w:rsid w:val="00B90F73"/>
    <w:rsid w:val="00B96412"/>
    <w:rsid w:val="00BB3C41"/>
    <w:rsid w:val="00BB4971"/>
    <w:rsid w:val="00BC4761"/>
    <w:rsid w:val="00BD55F3"/>
    <w:rsid w:val="00BE1AF6"/>
    <w:rsid w:val="00BE6730"/>
    <w:rsid w:val="00C16682"/>
    <w:rsid w:val="00C178FD"/>
    <w:rsid w:val="00C21A8C"/>
    <w:rsid w:val="00C23688"/>
    <w:rsid w:val="00C27581"/>
    <w:rsid w:val="00C55AB2"/>
    <w:rsid w:val="00C644F7"/>
    <w:rsid w:val="00C679D2"/>
    <w:rsid w:val="00C70618"/>
    <w:rsid w:val="00C721D2"/>
    <w:rsid w:val="00C7585C"/>
    <w:rsid w:val="00C76924"/>
    <w:rsid w:val="00C76FF5"/>
    <w:rsid w:val="00C85D90"/>
    <w:rsid w:val="00C9342D"/>
    <w:rsid w:val="00CA29D2"/>
    <w:rsid w:val="00CA3DE5"/>
    <w:rsid w:val="00CC1776"/>
    <w:rsid w:val="00D04207"/>
    <w:rsid w:val="00D30B7A"/>
    <w:rsid w:val="00D32611"/>
    <w:rsid w:val="00D36607"/>
    <w:rsid w:val="00D506A9"/>
    <w:rsid w:val="00D6714F"/>
    <w:rsid w:val="00D8225F"/>
    <w:rsid w:val="00D93CFB"/>
    <w:rsid w:val="00DA2489"/>
    <w:rsid w:val="00DB333C"/>
    <w:rsid w:val="00DB3F7D"/>
    <w:rsid w:val="00DB611D"/>
    <w:rsid w:val="00DD58AB"/>
    <w:rsid w:val="00E00D23"/>
    <w:rsid w:val="00E037B9"/>
    <w:rsid w:val="00E442BF"/>
    <w:rsid w:val="00E45F33"/>
    <w:rsid w:val="00E700B2"/>
    <w:rsid w:val="00E75B2A"/>
    <w:rsid w:val="00E778B7"/>
    <w:rsid w:val="00E823D4"/>
    <w:rsid w:val="00E83B96"/>
    <w:rsid w:val="00EA7027"/>
    <w:rsid w:val="00EB0A45"/>
    <w:rsid w:val="00ED569B"/>
    <w:rsid w:val="00EE6879"/>
    <w:rsid w:val="00EE777C"/>
    <w:rsid w:val="00EF4E12"/>
    <w:rsid w:val="00F10E49"/>
    <w:rsid w:val="00F247D1"/>
    <w:rsid w:val="00F33C79"/>
    <w:rsid w:val="00F36DD8"/>
    <w:rsid w:val="00F422F6"/>
    <w:rsid w:val="00F512B3"/>
    <w:rsid w:val="00F56DE1"/>
    <w:rsid w:val="00F7754F"/>
    <w:rsid w:val="00F8552D"/>
    <w:rsid w:val="00FC3B9C"/>
    <w:rsid w:val="00FE58FA"/>
    <w:rsid w:val="00FF01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43AAAC7-61AF-4C04-81E6-D66BD3655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1F27"/>
    <w:pPr>
      <w:widowControl w:val="0"/>
      <w:autoSpaceDE w:val="0"/>
      <w:autoSpaceDN w:val="0"/>
      <w:adjustRightInd w:val="0"/>
      <w:spacing w:after="0" w:line="240" w:lineRule="auto"/>
    </w:pPr>
    <w:rPr>
      <w:rFonts w:hAnsi="Times New Roman" w:cs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3053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uiPriority w:val="99"/>
    <w:rsid w:val="001B1F27"/>
    <w:pPr>
      <w:spacing w:line="276" w:lineRule="exact"/>
      <w:jc w:val="both"/>
    </w:pPr>
  </w:style>
  <w:style w:type="paragraph" w:customStyle="1" w:styleId="Style2">
    <w:name w:val="Style2"/>
    <w:basedOn w:val="a"/>
    <w:uiPriority w:val="99"/>
    <w:rsid w:val="001B1F27"/>
    <w:pPr>
      <w:spacing w:line="274" w:lineRule="exact"/>
    </w:pPr>
  </w:style>
  <w:style w:type="paragraph" w:customStyle="1" w:styleId="Style3">
    <w:name w:val="Style3"/>
    <w:basedOn w:val="a"/>
    <w:uiPriority w:val="99"/>
    <w:rsid w:val="001B1F27"/>
    <w:pPr>
      <w:spacing w:line="278" w:lineRule="exact"/>
      <w:jc w:val="center"/>
    </w:pPr>
  </w:style>
  <w:style w:type="paragraph" w:customStyle="1" w:styleId="Style4">
    <w:name w:val="Style4"/>
    <w:basedOn w:val="a"/>
    <w:uiPriority w:val="99"/>
    <w:rsid w:val="001B1F27"/>
  </w:style>
  <w:style w:type="paragraph" w:customStyle="1" w:styleId="Style5">
    <w:name w:val="Style5"/>
    <w:basedOn w:val="a"/>
    <w:uiPriority w:val="99"/>
    <w:rsid w:val="001B1F27"/>
    <w:pPr>
      <w:spacing w:line="276" w:lineRule="exact"/>
      <w:jc w:val="center"/>
    </w:pPr>
  </w:style>
  <w:style w:type="paragraph" w:customStyle="1" w:styleId="Style6">
    <w:name w:val="Style6"/>
    <w:basedOn w:val="a"/>
    <w:uiPriority w:val="99"/>
    <w:rsid w:val="001B1F27"/>
    <w:pPr>
      <w:spacing w:line="278" w:lineRule="exact"/>
    </w:pPr>
  </w:style>
  <w:style w:type="paragraph" w:customStyle="1" w:styleId="Style7">
    <w:name w:val="Style7"/>
    <w:basedOn w:val="a"/>
    <w:uiPriority w:val="99"/>
    <w:rsid w:val="001B1F27"/>
    <w:pPr>
      <w:spacing w:line="276" w:lineRule="exact"/>
    </w:pPr>
  </w:style>
  <w:style w:type="paragraph" w:customStyle="1" w:styleId="Style8">
    <w:name w:val="Style8"/>
    <w:basedOn w:val="a"/>
    <w:uiPriority w:val="99"/>
    <w:rsid w:val="001B1F27"/>
  </w:style>
  <w:style w:type="character" w:customStyle="1" w:styleId="FontStyle11">
    <w:name w:val="Font Style11"/>
    <w:basedOn w:val="a0"/>
    <w:uiPriority w:val="99"/>
    <w:rsid w:val="001B1F27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1B1F27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uiPriority w:val="99"/>
    <w:rsid w:val="001B1F27"/>
    <w:rPr>
      <w:rFonts w:ascii="Times New Roman" w:hAnsi="Times New Roman" w:cs="Times New Roman"/>
      <w:sz w:val="20"/>
      <w:szCs w:val="20"/>
    </w:rPr>
  </w:style>
  <w:style w:type="character" w:customStyle="1" w:styleId="a3">
    <w:name w:val="Печатная машинка"/>
    <w:rsid w:val="00F422F6"/>
    <w:rPr>
      <w:rFonts w:ascii="Courier New" w:hAnsi="Courier New" w:cs="Courier New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965EA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65EA5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D8225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8225F"/>
    <w:rPr>
      <w:rFonts w:hAnsi="Times New Roman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D8225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8225F"/>
    <w:rPr>
      <w:rFonts w:hAnsi="Times New Roman" w:cs="Times New Roman"/>
      <w:sz w:val="24"/>
      <w:szCs w:val="24"/>
    </w:rPr>
  </w:style>
  <w:style w:type="paragraph" w:styleId="aa">
    <w:name w:val="Normal (Web)"/>
    <w:basedOn w:val="a"/>
    <w:qFormat/>
    <w:rsid w:val="00F10E49"/>
    <w:pPr>
      <w:widowControl/>
      <w:suppressAutoHyphens/>
      <w:autoSpaceDE/>
      <w:autoSpaceDN/>
      <w:adjustRightInd/>
      <w:spacing w:before="280" w:after="280"/>
    </w:pPr>
    <w:rPr>
      <w:rFonts w:eastAsia="Times New Roman"/>
      <w:lang w:eastAsia="zh-CN"/>
    </w:rPr>
  </w:style>
  <w:style w:type="character" w:styleId="ab">
    <w:name w:val="annotation reference"/>
    <w:basedOn w:val="a0"/>
    <w:uiPriority w:val="99"/>
    <w:semiHidden/>
    <w:unhideWhenUsed/>
    <w:rsid w:val="00F10E49"/>
    <w:rPr>
      <w:sz w:val="16"/>
      <w:szCs w:val="16"/>
    </w:rPr>
  </w:style>
  <w:style w:type="paragraph" w:styleId="ac">
    <w:name w:val="annotation text"/>
    <w:basedOn w:val="a"/>
    <w:link w:val="ad"/>
    <w:semiHidden/>
    <w:unhideWhenUsed/>
    <w:rsid w:val="00F10E49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semiHidden/>
    <w:rsid w:val="00F10E49"/>
    <w:rPr>
      <w:rFonts w:hAnsi="Times New Roman" w:cs="Times New Roman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83053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e">
    <w:name w:val="Table Grid"/>
    <w:basedOn w:val="a1"/>
    <w:rsid w:val="000222BA"/>
    <w:pPr>
      <w:spacing w:after="0" w:line="240" w:lineRule="auto"/>
    </w:pPr>
    <w:rPr>
      <w:rFonts w:eastAsia="Times New Roman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44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2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287448-0DBA-45AE-ABB9-D7965412C4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1372</Words>
  <Characters>7821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9175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Богдан Морофиянец</dc:creator>
  <cp:lastModifiedBy>Колодій Тетяна Валентинівна</cp:lastModifiedBy>
  <cp:revision>6</cp:revision>
  <cp:lastPrinted>2021-08-04T07:41:00Z</cp:lastPrinted>
  <dcterms:created xsi:type="dcterms:W3CDTF">2021-08-26T17:32:00Z</dcterms:created>
  <dcterms:modified xsi:type="dcterms:W3CDTF">2024-02-15T07:01:00Z</dcterms:modified>
</cp:coreProperties>
</file>