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w:t>
      </w:r>
      <w:proofErr w:type="spellStart"/>
      <w:r w:rsidRPr="00C70A9E">
        <w:rPr>
          <w:b/>
          <w:sz w:val="20"/>
          <w:szCs w:val="20"/>
          <w:lang w:val="ru-RU"/>
        </w:rPr>
        <w:t>механізмом</w:t>
      </w:r>
      <w:proofErr w:type="spellEnd"/>
      <w:r w:rsidRPr="00C70A9E">
        <w:rPr>
          <w:b/>
          <w:sz w:val="20"/>
          <w:szCs w:val="20"/>
          <w:lang w:val="ru-RU"/>
        </w:rPr>
        <w:t xml:space="preserve"> самовиробництва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proofErr w:type="spellStart"/>
      <w:r w:rsidR="00B65FBA" w:rsidRPr="00C70A9E">
        <w:rPr>
          <w:b/>
          <w:sz w:val="20"/>
          <w:szCs w:val="20"/>
          <w:lang w:val="ru-RU"/>
        </w:rPr>
        <w:t>постачальником</w:t>
      </w:r>
      <w:proofErr w:type="spellEnd"/>
      <w:r w:rsidR="00B65FBA" w:rsidRPr="00C70A9E">
        <w:rPr>
          <w:b/>
          <w:sz w:val="20"/>
          <w:szCs w:val="20"/>
          <w:lang w:val="ru-RU"/>
        </w:rPr>
        <w:t xml:space="preserve"> </w:t>
      </w:r>
      <w:proofErr w:type="spellStart"/>
      <w:r w:rsidR="00B65FBA" w:rsidRPr="00C70A9E">
        <w:rPr>
          <w:b/>
          <w:sz w:val="20"/>
          <w:szCs w:val="20"/>
          <w:lang w:val="ru-RU"/>
        </w:rPr>
        <w:t>універсальних</w:t>
      </w:r>
      <w:proofErr w:type="spellEnd"/>
      <w:r w:rsidR="00B65FBA" w:rsidRPr="00C70A9E">
        <w:rPr>
          <w:b/>
          <w:sz w:val="20"/>
          <w:szCs w:val="20"/>
          <w:lang w:val="ru-RU"/>
        </w:rPr>
        <w:t xml:space="preserve"> </w:t>
      </w:r>
      <w:proofErr w:type="spellStart"/>
      <w:r w:rsidR="00B65FBA" w:rsidRPr="00C70A9E">
        <w:rPr>
          <w:b/>
          <w:sz w:val="20"/>
          <w:szCs w:val="20"/>
          <w:lang w:val="ru-RU"/>
        </w:rPr>
        <w:t>послуг</w:t>
      </w:r>
      <w:proofErr w:type="spellEnd"/>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48FE743F"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BF08C3">
              <w:rPr>
                <w:color w:val="000000"/>
                <w:sz w:val="20"/>
                <w:szCs w:val="20"/>
              </w:rPr>
              <w:t>к</w:t>
            </w:r>
            <w:r w:rsidRPr="00C70A9E">
              <w:rPr>
                <w:color w:val="000000"/>
                <w:sz w:val="20"/>
                <w:szCs w:val="20"/>
              </w:rPr>
              <w:t>омерційною пропозицією</w:t>
            </w:r>
            <w:r w:rsidR="000258D3" w:rsidRPr="00C70A9E">
              <w:rPr>
                <w:color w:val="000000"/>
                <w:sz w:val="20"/>
                <w:szCs w:val="20"/>
              </w:rPr>
              <w:t>.</w:t>
            </w:r>
          </w:p>
          <w:p w14:paraId="0E863AFD"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w:t>
            </w:r>
            <w:proofErr w:type="spellStart"/>
            <w:r w:rsidRPr="00C70A9E">
              <w:rPr>
                <w:sz w:val="20"/>
                <w:szCs w:val="20"/>
              </w:rPr>
              <w:t>Bн</w:t>
            </w:r>
            <w:proofErr w:type="spellEnd"/>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proofErr w:type="spellStart"/>
            <w:r w:rsidRPr="00C70A9E">
              <w:rPr>
                <w:sz w:val="20"/>
                <w:szCs w:val="20"/>
              </w:rPr>
              <w:t>Bн</w:t>
            </w:r>
            <w:proofErr w:type="spellEnd"/>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251C55A" w14:textId="77777777" w:rsidR="00C56782" w:rsidRPr="005303D9" w:rsidRDefault="00C56782" w:rsidP="00C56782">
            <w:pPr>
              <w:ind w:firstLine="6"/>
              <w:contextualSpacing/>
              <w:jc w:val="both"/>
              <w:textAlignment w:val="baseline"/>
              <w:rPr>
                <w:b/>
                <w:spacing w:val="-2"/>
                <w:sz w:val="20"/>
                <w:szCs w:val="20"/>
              </w:rPr>
            </w:pPr>
            <w:r w:rsidRPr="005303D9">
              <w:rPr>
                <w:b/>
                <w:spacing w:val="-2"/>
                <w:sz w:val="20"/>
                <w:szCs w:val="20"/>
              </w:rPr>
              <w:lastRenderedPageBreak/>
              <w:t xml:space="preserve">АТ «ВІННИЦЯОБЛЕНЕРГО» згідно з класом напруги на </w:t>
            </w:r>
            <w:r w:rsidRPr="005303D9">
              <w:rPr>
                <w:b/>
                <w:spacing w:val="-2"/>
                <w:sz w:val="20"/>
                <w:szCs w:val="20"/>
                <w:lang w:val="ru-RU"/>
              </w:rPr>
              <w:t>липень</w:t>
            </w:r>
            <w:r w:rsidRPr="005303D9">
              <w:rPr>
                <w:b/>
                <w:spacing w:val="-2"/>
                <w:sz w:val="20"/>
                <w:szCs w:val="20"/>
              </w:rPr>
              <w:t xml:space="preserve"> 2026 року становить: </w:t>
            </w:r>
          </w:p>
          <w:p w14:paraId="660CC6A4" w14:textId="77777777" w:rsidR="00C56782" w:rsidRPr="005303D9" w:rsidRDefault="00C56782" w:rsidP="00C56782">
            <w:pPr>
              <w:ind w:firstLine="6"/>
              <w:contextualSpacing/>
              <w:jc w:val="both"/>
              <w:textAlignment w:val="baseline"/>
              <w:rPr>
                <w:b/>
                <w:sz w:val="20"/>
                <w:szCs w:val="20"/>
              </w:rPr>
            </w:pPr>
            <w:r w:rsidRPr="005303D9">
              <w:rPr>
                <w:b/>
                <w:sz w:val="20"/>
                <w:szCs w:val="20"/>
              </w:rPr>
              <w:t xml:space="preserve">І клас – </w:t>
            </w:r>
            <w:r w:rsidRPr="005303D9">
              <w:rPr>
                <w:rFonts w:eastAsiaTheme="minorHAnsi"/>
                <w:b/>
                <w:sz w:val="20"/>
                <w:szCs w:val="20"/>
              </w:rPr>
              <w:t>5</w:t>
            </w:r>
            <w:r w:rsidRPr="005303D9">
              <w:rPr>
                <w:b/>
                <w:sz w:val="20"/>
                <w:szCs w:val="20"/>
              </w:rPr>
              <w:t>,</w:t>
            </w:r>
            <w:r w:rsidRPr="005303D9">
              <w:rPr>
                <w:rFonts w:eastAsiaTheme="minorHAnsi"/>
                <w:b/>
                <w:sz w:val="20"/>
                <w:szCs w:val="20"/>
              </w:rPr>
              <w:t>13214</w:t>
            </w:r>
            <w:r w:rsidRPr="005303D9">
              <w:rPr>
                <w:b/>
                <w:sz w:val="20"/>
                <w:szCs w:val="20"/>
                <w:lang w:val="en-US"/>
              </w:rPr>
              <w:t xml:space="preserve"> </w:t>
            </w:r>
            <w:r w:rsidRPr="005303D9">
              <w:rPr>
                <w:b/>
                <w:sz w:val="20"/>
                <w:szCs w:val="20"/>
              </w:rPr>
              <w:t>грн/кВт·год (без ПДВ);</w:t>
            </w:r>
          </w:p>
          <w:p w14:paraId="132D5D38" w14:textId="77777777" w:rsidR="00C56782" w:rsidRPr="005303D9" w:rsidRDefault="00C56782" w:rsidP="00C56782">
            <w:pPr>
              <w:ind w:firstLine="6"/>
              <w:contextualSpacing/>
              <w:jc w:val="both"/>
              <w:textAlignment w:val="baseline"/>
              <w:rPr>
                <w:b/>
                <w:sz w:val="20"/>
                <w:szCs w:val="20"/>
              </w:rPr>
            </w:pPr>
            <w:r w:rsidRPr="005303D9">
              <w:rPr>
                <w:b/>
                <w:sz w:val="20"/>
                <w:szCs w:val="20"/>
              </w:rPr>
              <w:t xml:space="preserve">ІІ клас – 7,53564 грн/кВт·год (без ПДВ). </w:t>
            </w:r>
          </w:p>
          <w:p w14:paraId="4E5DE670" w14:textId="77777777" w:rsidR="00C56782" w:rsidRPr="005303D9" w:rsidRDefault="00C56782" w:rsidP="00C56782">
            <w:pPr>
              <w:ind w:firstLine="6"/>
              <w:contextualSpacing/>
              <w:jc w:val="both"/>
              <w:textAlignment w:val="baseline"/>
              <w:rPr>
                <w:b/>
                <w:sz w:val="20"/>
                <w:szCs w:val="20"/>
              </w:rPr>
            </w:pPr>
          </w:p>
          <w:p w14:paraId="035E4044" w14:textId="77777777" w:rsidR="00C56782" w:rsidRPr="005303D9" w:rsidRDefault="00C56782" w:rsidP="00C56782">
            <w:pPr>
              <w:ind w:firstLine="6"/>
              <w:contextualSpacing/>
              <w:jc w:val="both"/>
              <w:textAlignment w:val="baseline"/>
              <w:rPr>
                <w:b/>
                <w:sz w:val="20"/>
                <w:szCs w:val="20"/>
              </w:rPr>
            </w:pPr>
            <w:r w:rsidRPr="005303D9">
              <w:rPr>
                <w:b/>
                <w:sz w:val="20"/>
                <w:szCs w:val="20"/>
              </w:rPr>
              <w:t xml:space="preserve">АТ «Укрзалізниця» згідно з класом напруги на </w:t>
            </w:r>
            <w:r w:rsidRPr="005303D9">
              <w:rPr>
                <w:b/>
                <w:sz w:val="20"/>
                <w:szCs w:val="20"/>
                <w:lang w:val="ru-RU"/>
              </w:rPr>
              <w:t>липень</w:t>
            </w:r>
            <w:r w:rsidRPr="005303D9">
              <w:rPr>
                <w:b/>
                <w:sz w:val="20"/>
                <w:szCs w:val="20"/>
              </w:rPr>
              <w:t xml:space="preserve"> 2026 року становить: </w:t>
            </w:r>
          </w:p>
          <w:p w14:paraId="51D4218E" w14:textId="77777777" w:rsidR="00C56782" w:rsidRPr="005303D9" w:rsidRDefault="00C56782" w:rsidP="00C56782">
            <w:pPr>
              <w:ind w:firstLine="6"/>
              <w:contextualSpacing/>
              <w:jc w:val="both"/>
              <w:textAlignment w:val="baseline"/>
              <w:rPr>
                <w:b/>
                <w:sz w:val="20"/>
                <w:szCs w:val="20"/>
              </w:rPr>
            </w:pPr>
            <w:r w:rsidRPr="005303D9">
              <w:rPr>
                <w:b/>
                <w:sz w:val="20"/>
                <w:szCs w:val="20"/>
              </w:rPr>
              <w:t>І клас – 5,</w:t>
            </w:r>
            <w:r w:rsidRPr="005303D9">
              <w:rPr>
                <w:rFonts w:eastAsiaTheme="minorHAnsi"/>
                <w:b/>
                <w:sz w:val="20"/>
                <w:szCs w:val="20"/>
              </w:rPr>
              <w:t>19789</w:t>
            </w:r>
            <w:r w:rsidRPr="005303D9">
              <w:rPr>
                <w:b/>
                <w:sz w:val="20"/>
                <w:szCs w:val="20"/>
              </w:rPr>
              <w:t xml:space="preserve"> грн/кВт·год (без ПДВ); </w:t>
            </w:r>
          </w:p>
          <w:p w14:paraId="52182EE9" w14:textId="77777777" w:rsidR="00C56782" w:rsidRPr="005303D9" w:rsidRDefault="00C56782" w:rsidP="00C56782">
            <w:pPr>
              <w:rPr>
                <w:sz w:val="20"/>
                <w:szCs w:val="20"/>
              </w:rPr>
            </w:pPr>
            <w:r w:rsidRPr="005303D9">
              <w:rPr>
                <w:b/>
                <w:sz w:val="20"/>
                <w:szCs w:val="20"/>
              </w:rPr>
              <w:t>ІІ клас – 6,85204 грн/кВт·год (без ПДВ).</w:t>
            </w:r>
          </w:p>
          <w:p w14:paraId="0E3C1A19" w14:textId="77777777" w:rsidR="008C044A" w:rsidRPr="008C044A" w:rsidRDefault="008C044A" w:rsidP="00CB68BA">
            <w:pPr>
              <w:pageBreakBefore/>
              <w:autoSpaceDE w:val="0"/>
              <w:autoSpaceDN w:val="0"/>
              <w:adjustRightInd w:val="0"/>
              <w:jc w:val="both"/>
              <w:rPr>
                <w:sz w:val="22"/>
                <w:szCs w:val="22"/>
                <w:lang w:val="en-US"/>
              </w:rPr>
            </w:pPr>
          </w:p>
          <w:p w14:paraId="5F5D820E" w14:textId="30322181"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а РДН k−</w:t>
            </w:r>
            <w:proofErr w:type="spellStart"/>
            <w:r w:rsidR="00CA512C" w:rsidRPr="00C70A9E">
              <w:rPr>
                <w:sz w:val="20"/>
                <w:szCs w:val="20"/>
              </w:rPr>
              <w:t>ої</w:t>
            </w:r>
            <w:proofErr w:type="spellEnd"/>
            <w:r w:rsidR="00CA512C" w:rsidRPr="00C70A9E">
              <w:rPr>
                <w:sz w:val="20"/>
                <w:szCs w:val="20"/>
              </w:rPr>
              <w:t xml:space="preserve"> години, j − </w:t>
            </w:r>
            <w:proofErr w:type="spellStart"/>
            <w:r w:rsidR="00CA512C" w:rsidRPr="00C70A9E">
              <w:rPr>
                <w:sz w:val="20"/>
                <w:szCs w:val="20"/>
              </w:rPr>
              <w:t>ої</w:t>
            </w:r>
            <w:proofErr w:type="spellEnd"/>
            <w:r w:rsidR="00CA512C" w:rsidRPr="00C70A9E">
              <w:rPr>
                <w:sz w:val="20"/>
                <w:szCs w:val="20"/>
              </w:rPr>
              <w:t xml:space="preserve">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C70A9E">
              <w:rPr>
                <w:sz w:val="20"/>
                <w:szCs w:val="20"/>
              </w:rPr>
              <w:t>ій</w:t>
            </w:r>
            <w:proofErr w:type="spellEnd"/>
            <w:r w:rsidR="00FA1595" w:rsidRPr="00C70A9E">
              <w:rPr>
                <w:sz w:val="20"/>
                <w:szCs w:val="20"/>
              </w:rPr>
              <w:t xml:space="preserve"> годині, j − </w:t>
            </w:r>
            <w:proofErr w:type="spellStart"/>
            <w:r w:rsidR="00FA1595" w:rsidRPr="00C70A9E">
              <w:rPr>
                <w:sz w:val="20"/>
                <w:szCs w:val="20"/>
              </w:rPr>
              <w:t>ої</w:t>
            </w:r>
            <w:proofErr w:type="spellEnd"/>
            <w:r w:rsidR="00FA1595" w:rsidRPr="00C70A9E">
              <w:rPr>
                <w:sz w:val="20"/>
                <w:szCs w:val="20"/>
              </w:rPr>
              <w:t xml:space="preserve">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10065" w:type="dxa"/>
        <w:tblLook w:val="04A0" w:firstRow="1" w:lastRow="0" w:firstColumn="1" w:lastColumn="0" w:noHBand="0" w:noVBand="1"/>
      </w:tblPr>
      <w:tblGrid>
        <w:gridCol w:w="4790"/>
        <w:gridCol w:w="5275"/>
      </w:tblGrid>
      <w:tr w:rsidR="00CD7E6C" w:rsidRPr="005E2D30" w14:paraId="46C5BB1A" w14:textId="77777777" w:rsidTr="006116E1">
        <w:tc>
          <w:tcPr>
            <w:tcW w:w="4790"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75"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94D6" w14:textId="77777777" w:rsidR="00846C34" w:rsidRDefault="00846C34" w:rsidP="00CC3D88">
      <w:r>
        <w:separator/>
      </w:r>
    </w:p>
  </w:endnote>
  <w:endnote w:type="continuationSeparator" w:id="0">
    <w:p w14:paraId="53B6B48C" w14:textId="77777777" w:rsidR="00846C34" w:rsidRDefault="00846C34"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3445" w14:textId="77777777" w:rsidR="00846C34" w:rsidRDefault="00846C34" w:rsidP="00CC3D88">
      <w:r>
        <w:separator/>
      </w:r>
    </w:p>
  </w:footnote>
  <w:footnote w:type="continuationSeparator" w:id="0">
    <w:p w14:paraId="5A17E67B" w14:textId="77777777" w:rsidR="00846C34" w:rsidRDefault="00846C34"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7C45DF"/>
    <w:multiLevelType w:val="hybridMultilevel"/>
    <w:tmpl w:val="368ADA2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4"/>
  </w:num>
  <w:num w:numId="2" w16cid:durableId="224218840">
    <w:abstractNumId w:val="6"/>
  </w:num>
  <w:num w:numId="3" w16cid:durableId="223226345">
    <w:abstractNumId w:val="0"/>
  </w:num>
  <w:num w:numId="4" w16cid:durableId="2099983318">
    <w:abstractNumId w:val="7"/>
  </w:num>
  <w:num w:numId="5" w16cid:durableId="1486163028">
    <w:abstractNumId w:val="3"/>
  </w:num>
  <w:num w:numId="6" w16cid:durableId="560679996">
    <w:abstractNumId w:val="5"/>
  </w:num>
  <w:num w:numId="7" w16cid:durableId="1469594163">
    <w:abstractNumId w:val="2"/>
  </w:num>
  <w:num w:numId="8" w16cid:durableId="8774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685C"/>
    <w:rsid w:val="000125BA"/>
    <w:rsid w:val="000125ED"/>
    <w:rsid w:val="0002572E"/>
    <w:rsid w:val="000258D3"/>
    <w:rsid w:val="00027AAD"/>
    <w:rsid w:val="00033F90"/>
    <w:rsid w:val="000575AE"/>
    <w:rsid w:val="00060C3C"/>
    <w:rsid w:val="0007460F"/>
    <w:rsid w:val="00097AE7"/>
    <w:rsid w:val="000A283E"/>
    <w:rsid w:val="000A6A24"/>
    <w:rsid w:val="000B0F5E"/>
    <w:rsid w:val="000B62EF"/>
    <w:rsid w:val="000C7C95"/>
    <w:rsid w:val="000E05EC"/>
    <w:rsid w:val="000E417B"/>
    <w:rsid w:val="000E48B5"/>
    <w:rsid w:val="000E5A40"/>
    <w:rsid w:val="000E6186"/>
    <w:rsid w:val="000F453B"/>
    <w:rsid w:val="00102EFE"/>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4640B"/>
    <w:rsid w:val="00264A63"/>
    <w:rsid w:val="00264BC8"/>
    <w:rsid w:val="00270685"/>
    <w:rsid w:val="00282F05"/>
    <w:rsid w:val="00283822"/>
    <w:rsid w:val="002971CE"/>
    <w:rsid w:val="002B5204"/>
    <w:rsid w:val="002C6FC7"/>
    <w:rsid w:val="002D483D"/>
    <w:rsid w:val="002D6A4F"/>
    <w:rsid w:val="003270AF"/>
    <w:rsid w:val="0035500E"/>
    <w:rsid w:val="00360EAC"/>
    <w:rsid w:val="003737A6"/>
    <w:rsid w:val="003749AC"/>
    <w:rsid w:val="00395311"/>
    <w:rsid w:val="00397342"/>
    <w:rsid w:val="003B00C9"/>
    <w:rsid w:val="003C2083"/>
    <w:rsid w:val="003C7171"/>
    <w:rsid w:val="003D07F4"/>
    <w:rsid w:val="003D0F7A"/>
    <w:rsid w:val="003D67CB"/>
    <w:rsid w:val="003E76FD"/>
    <w:rsid w:val="003F1529"/>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763D4"/>
    <w:rsid w:val="005811FA"/>
    <w:rsid w:val="00597F8F"/>
    <w:rsid w:val="005A0337"/>
    <w:rsid w:val="005B133B"/>
    <w:rsid w:val="005B173D"/>
    <w:rsid w:val="005C2668"/>
    <w:rsid w:val="005D02A5"/>
    <w:rsid w:val="005D37BC"/>
    <w:rsid w:val="005D746C"/>
    <w:rsid w:val="005E5731"/>
    <w:rsid w:val="006116E1"/>
    <w:rsid w:val="00611E0F"/>
    <w:rsid w:val="00617ADF"/>
    <w:rsid w:val="00630F4E"/>
    <w:rsid w:val="00645FAB"/>
    <w:rsid w:val="00666D78"/>
    <w:rsid w:val="006706E0"/>
    <w:rsid w:val="006859BA"/>
    <w:rsid w:val="006B3B57"/>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7C6523"/>
    <w:rsid w:val="00800C4B"/>
    <w:rsid w:val="00841D9B"/>
    <w:rsid w:val="00846C34"/>
    <w:rsid w:val="0087300B"/>
    <w:rsid w:val="008B3113"/>
    <w:rsid w:val="008B343D"/>
    <w:rsid w:val="008C044A"/>
    <w:rsid w:val="008C22BD"/>
    <w:rsid w:val="008E58A2"/>
    <w:rsid w:val="008F28E0"/>
    <w:rsid w:val="008F7321"/>
    <w:rsid w:val="009107F4"/>
    <w:rsid w:val="00912D92"/>
    <w:rsid w:val="00914A1E"/>
    <w:rsid w:val="009317A4"/>
    <w:rsid w:val="00955201"/>
    <w:rsid w:val="00975548"/>
    <w:rsid w:val="00985B6F"/>
    <w:rsid w:val="00986A9C"/>
    <w:rsid w:val="009948DC"/>
    <w:rsid w:val="009959B5"/>
    <w:rsid w:val="009A7222"/>
    <w:rsid w:val="009E4F9B"/>
    <w:rsid w:val="009E7A7B"/>
    <w:rsid w:val="009F2DD6"/>
    <w:rsid w:val="00A062FA"/>
    <w:rsid w:val="00A15490"/>
    <w:rsid w:val="00A2437B"/>
    <w:rsid w:val="00A3130B"/>
    <w:rsid w:val="00A50EA3"/>
    <w:rsid w:val="00A56E9A"/>
    <w:rsid w:val="00A658A4"/>
    <w:rsid w:val="00A73058"/>
    <w:rsid w:val="00A83545"/>
    <w:rsid w:val="00A93566"/>
    <w:rsid w:val="00A97230"/>
    <w:rsid w:val="00AA094C"/>
    <w:rsid w:val="00AB2782"/>
    <w:rsid w:val="00AC08EA"/>
    <w:rsid w:val="00AC2932"/>
    <w:rsid w:val="00AD663C"/>
    <w:rsid w:val="00AD6D4D"/>
    <w:rsid w:val="00AD6FD0"/>
    <w:rsid w:val="00AF56DB"/>
    <w:rsid w:val="00AF7373"/>
    <w:rsid w:val="00B03549"/>
    <w:rsid w:val="00B22869"/>
    <w:rsid w:val="00B42769"/>
    <w:rsid w:val="00B51B11"/>
    <w:rsid w:val="00B54747"/>
    <w:rsid w:val="00B55031"/>
    <w:rsid w:val="00B55F99"/>
    <w:rsid w:val="00B5646C"/>
    <w:rsid w:val="00B566DD"/>
    <w:rsid w:val="00B614CC"/>
    <w:rsid w:val="00B65FBA"/>
    <w:rsid w:val="00B733A7"/>
    <w:rsid w:val="00B73453"/>
    <w:rsid w:val="00B8614E"/>
    <w:rsid w:val="00BA39DE"/>
    <w:rsid w:val="00BA3B16"/>
    <w:rsid w:val="00BE34BA"/>
    <w:rsid w:val="00BF08C3"/>
    <w:rsid w:val="00C05C24"/>
    <w:rsid w:val="00C20CCA"/>
    <w:rsid w:val="00C27B43"/>
    <w:rsid w:val="00C34923"/>
    <w:rsid w:val="00C56782"/>
    <w:rsid w:val="00C629D1"/>
    <w:rsid w:val="00C70A9E"/>
    <w:rsid w:val="00C71424"/>
    <w:rsid w:val="00C82697"/>
    <w:rsid w:val="00C84B84"/>
    <w:rsid w:val="00C86E9B"/>
    <w:rsid w:val="00C91EEE"/>
    <w:rsid w:val="00CA512C"/>
    <w:rsid w:val="00CB68BA"/>
    <w:rsid w:val="00CC0143"/>
    <w:rsid w:val="00CC1F70"/>
    <w:rsid w:val="00CC3D88"/>
    <w:rsid w:val="00CD54E0"/>
    <w:rsid w:val="00CD7E6C"/>
    <w:rsid w:val="00CF05A5"/>
    <w:rsid w:val="00D33EAA"/>
    <w:rsid w:val="00D35A76"/>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1F39"/>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7923</Words>
  <Characters>4517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2026-07-01T11:10:00Z</dcterms:modified>
</cp:coreProperties>
</file>