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19B9" w14:textId="77777777" w:rsidR="00744142" w:rsidRPr="00744142" w:rsidRDefault="00744142" w:rsidP="00744142">
      <w:pPr>
        <w:keepNext/>
        <w:keepLines/>
        <w:spacing w:before="200" w:after="0" w:line="240" w:lineRule="auto"/>
        <w:contextualSpacing/>
        <w:mirrorIndents/>
        <w:jc w:val="center"/>
        <w:outlineLvl w:val="1"/>
        <w:rPr>
          <w:rFonts w:ascii="Times New Roman" w:eastAsiaTheme="majorEastAsia" w:hAnsi="Times New Roman" w:cs="Times New Roman"/>
          <w:bCs/>
          <w:color w:val="5B9BD5" w:themeColor="accent1"/>
          <w:sz w:val="26"/>
          <w:szCs w:val="26"/>
          <w:lang w:val="uk-UA" w:eastAsia="uk-UA"/>
        </w:rPr>
      </w:pPr>
      <w:r>
        <w:rPr>
          <w:rFonts w:ascii="Times New Roman" w:eastAsiaTheme="majorEastAsia" w:hAnsi="Times New Roman" w:cs="Times New Roman"/>
          <w:bCs/>
          <w:color w:val="000000" w:themeColor="text1"/>
          <w:sz w:val="26"/>
          <w:szCs w:val="26"/>
          <w:lang w:val="uk-UA" w:eastAsia="uk-UA"/>
        </w:rPr>
        <w:t xml:space="preserve">                 </w:t>
      </w:r>
      <w:r w:rsidRPr="00744142">
        <w:rPr>
          <w:rFonts w:ascii="Times New Roman" w:eastAsiaTheme="majorEastAsia" w:hAnsi="Times New Roman" w:cs="Times New Roman"/>
          <w:bCs/>
          <w:color w:val="000000" w:themeColor="text1"/>
          <w:sz w:val="26"/>
          <w:szCs w:val="26"/>
          <w:lang w:val="uk-UA" w:eastAsia="uk-UA"/>
        </w:rPr>
        <w:t>Додаток № 2</w:t>
      </w:r>
    </w:p>
    <w:p w14:paraId="5D7AA8A5" w14:textId="77777777" w:rsidR="00744142" w:rsidRPr="00744142" w:rsidRDefault="00744142" w:rsidP="00744142">
      <w:pPr>
        <w:tabs>
          <w:tab w:val="left" w:pos="1695"/>
        </w:tabs>
        <w:spacing w:after="0" w:line="240" w:lineRule="auto"/>
        <w:contextualSpacing/>
        <w:mirrorIndents/>
        <w:jc w:val="center"/>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                                                                до Договору про постачання електричної </w:t>
      </w:r>
    </w:p>
    <w:p w14:paraId="45A4A4FF" w14:textId="77777777" w:rsidR="00744142" w:rsidRPr="00744142" w:rsidRDefault="00744142" w:rsidP="00744142">
      <w:pPr>
        <w:tabs>
          <w:tab w:val="left" w:pos="1695"/>
        </w:tabs>
        <w:spacing w:after="0" w:line="240" w:lineRule="auto"/>
        <w:contextualSpacing/>
        <w:mirrorIndents/>
        <w:jc w:val="center"/>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                                                                         енергії постачальником універсальних послуг</w:t>
      </w:r>
    </w:p>
    <w:p w14:paraId="585AA96B" w14:textId="77777777" w:rsidR="00744142" w:rsidRPr="00744142" w:rsidRDefault="00744142" w:rsidP="00744142">
      <w:pPr>
        <w:tabs>
          <w:tab w:val="left" w:pos="1695"/>
        </w:tabs>
        <w:spacing w:after="0" w:line="240" w:lineRule="auto"/>
        <w:contextualSpacing/>
        <w:mirrorIndents/>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ab/>
      </w:r>
      <w:r w:rsidRPr="00744142">
        <w:rPr>
          <w:rFonts w:ascii="Times New Roman" w:eastAsia="Times New Roman" w:hAnsi="Times New Roman" w:cs="Times New Roman"/>
          <w:lang w:val="uk-UA" w:eastAsia="uk-UA"/>
        </w:rPr>
        <w:tab/>
      </w:r>
      <w:r w:rsidRPr="00744142">
        <w:rPr>
          <w:rFonts w:ascii="Times New Roman" w:eastAsia="Times New Roman" w:hAnsi="Times New Roman" w:cs="Times New Roman"/>
          <w:lang w:val="uk-UA" w:eastAsia="uk-UA"/>
        </w:rPr>
        <w:tab/>
      </w:r>
      <w:r w:rsidRPr="00744142">
        <w:rPr>
          <w:rFonts w:ascii="Times New Roman" w:eastAsia="Times New Roman" w:hAnsi="Times New Roman" w:cs="Times New Roman"/>
          <w:lang w:val="uk-UA" w:eastAsia="uk-UA"/>
        </w:rPr>
        <w:tab/>
      </w:r>
      <w:r w:rsidRPr="00744142">
        <w:rPr>
          <w:rFonts w:ascii="Times New Roman" w:eastAsia="Times New Roman" w:hAnsi="Times New Roman" w:cs="Times New Roman"/>
          <w:lang w:val="uk-UA" w:eastAsia="uk-UA"/>
        </w:rPr>
        <w:tab/>
        <w:t xml:space="preserve">         </w:t>
      </w:r>
    </w:p>
    <w:p w14:paraId="29226575" w14:textId="77777777" w:rsidR="00744142" w:rsidRPr="00744142" w:rsidRDefault="00744142" w:rsidP="00744142">
      <w:pPr>
        <w:tabs>
          <w:tab w:val="left" w:pos="1695"/>
        </w:tabs>
        <w:spacing w:after="0" w:line="240" w:lineRule="auto"/>
        <w:contextualSpacing/>
        <w:mirrorIndents/>
        <w:jc w:val="center"/>
        <w:rPr>
          <w:rFonts w:ascii="Times New Roman" w:eastAsia="Times New Roman" w:hAnsi="Times New Roman" w:cs="Times New Roman"/>
          <w:b/>
          <w:lang w:val="uk-UA" w:eastAsia="uk-UA"/>
        </w:rPr>
      </w:pPr>
      <w:r w:rsidRPr="00744142">
        <w:rPr>
          <w:rFonts w:ascii="Times New Roman" w:eastAsia="Times New Roman" w:hAnsi="Times New Roman" w:cs="Times New Roman"/>
          <w:b/>
          <w:lang w:val="uk-UA" w:eastAsia="uk-UA"/>
        </w:rPr>
        <w:t>КОМЕРЦІЙНА ПРОПОЗИЦІЯ № 1</w:t>
      </w:r>
    </w:p>
    <w:p w14:paraId="279B0F73" w14:textId="77777777" w:rsidR="00744142" w:rsidRPr="00744142" w:rsidRDefault="00744142" w:rsidP="00744142">
      <w:pPr>
        <w:tabs>
          <w:tab w:val="left" w:pos="1695"/>
        </w:tabs>
        <w:spacing w:after="0" w:line="240" w:lineRule="auto"/>
        <w:contextualSpacing/>
        <w:mirrorIndents/>
        <w:rPr>
          <w:rFonts w:ascii="Times New Roman" w:eastAsia="Times New Roman" w:hAnsi="Times New Roman" w:cs="Times New Roman"/>
          <w:lang w:val="uk-UA" w:eastAsia="uk-UA"/>
        </w:rPr>
      </w:pPr>
    </w:p>
    <w:p w14:paraId="02AC6F5F" w14:textId="77777777" w:rsidR="00744142" w:rsidRPr="00744142" w:rsidRDefault="00744142" w:rsidP="00744142">
      <w:pPr>
        <w:tabs>
          <w:tab w:val="left" w:pos="1695"/>
        </w:tabs>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b/>
          <w:color w:val="000000"/>
          <w:u w:val="single"/>
          <w:lang w:val="uk-UA" w:eastAsia="uk-UA"/>
        </w:rPr>
        <w:t>ТОВАРИСТВО З ОБМЕЖЕНОЮ ВІДПОВІДАЛЬНІСТЮ «ЕНЕРА ВІННИЦЯ»</w:t>
      </w:r>
      <w:r w:rsidRPr="00744142">
        <w:rPr>
          <w:rFonts w:ascii="Times New Roman" w:eastAsia="Times New Roman" w:hAnsi="Times New Roman" w:cs="Times New Roman"/>
          <w:color w:val="000000"/>
          <w:u w:val="single"/>
          <w:lang w:val="uk-UA" w:eastAsia="uk-UA"/>
        </w:rPr>
        <w:t xml:space="preserve">, </w:t>
      </w:r>
      <w:r w:rsidRPr="00744142">
        <w:rPr>
          <w:rFonts w:ascii="Times New Roman" w:eastAsia="Times New Roman" w:hAnsi="Times New Roman" w:cs="Times New Roman"/>
          <w:color w:val="000000"/>
          <w:lang w:val="uk-UA" w:eastAsia="uk-UA"/>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2C3932A8" w14:textId="77777777" w:rsidR="00744142" w:rsidRPr="00744142" w:rsidRDefault="00744142" w:rsidP="00744142">
      <w:pPr>
        <w:tabs>
          <w:tab w:val="left" w:pos="1695"/>
        </w:tabs>
        <w:spacing w:after="0" w:line="240" w:lineRule="auto"/>
        <w:contextualSpacing/>
        <w:mirrorIndents/>
        <w:rPr>
          <w:rFonts w:ascii="Times New Roman" w:eastAsia="Times New Roman" w:hAnsi="Times New Roman" w:cs="Times New Roman"/>
          <w:lang w:val="uk-UA" w:eastAsia="uk-UA"/>
        </w:rPr>
      </w:pPr>
    </w:p>
    <w:p w14:paraId="295911C7" w14:textId="77777777" w:rsidR="00744142" w:rsidRPr="00744142" w:rsidRDefault="00744142" w:rsidP="00744142">
      <w:pPr>
        <w:tabs>
          <w:tab w:val="left" w:pos="1695"/>
        </w:tabs>
        <w:spacing w:after="0" w:line="240" w:lineRule="auto"/>
        <w:contextualSpacing/>
        <w:mirrorIndents/>
        <w:rPr>
          <w:rFonts w:ascii="Times New Roman" w:eastAsia="Times New Roman" w:hAnsi="Times New Roman" w:cs="Times New Roman"/>
          <w:lang w:val="uk-UA" w:eastAsia="uk-UA"/>
        </w:rPr>
      </w:pPr>
      <w:r w:rsidRPr="00744142">
        <w:rPr>
          <w:rFonts w:ascii="Times New Roman" w:eastAsia="Times New Roman" w:hAnsi="Times New Roman" w:cs="Times New Roman"/>
          <w:b/>
          <w:u w:val="single"/>
          <w:lang w:val="uk-UA" w:eastAsia="uk-UA"/>
        </w:rPr>
        <w:t>Предмет комерційної пропозиції</w:t>
      </w:r>
      <w:r w:rsidRPr="00744142">
        <w:rPr>
          <w:rFonts w:ascii="Times New Roman" w:eastAsia="Times New Roman" w:hAnsi="Times New Roman" w:cs="Times New Roman"/>
          <w:lang w:val="uk-UA" w:eastAsia="uk-UA"/>
        </w:rPr>
        <w:t>: Постачання електричної енергії як товарної продукції.</w:t>
      </w:r>
    </w:p>
    <w:p w14:paraId="590BD95B" w14:textId="77777777" w:rsidR="00744142" w:rsidRPr="00744142" w:rsidRDefault="00744142" w:rsidP="00744142">
      <w:pPr>
        <w:tabs>
          <w:tab w:val="left" w:pos="1695"/>
        </w:tabs>
        <w:spacing w:after="0" w:line="240" w:lineRule="auto"/>
        <w:contextualSpacing/>
        <w:mirrorIndents/>
        <w:rPr>
          <w:rFonts w:ascii="Times New Roman" w:eastAsia="Times New Roman" w:hAnsi="Times New Roman" w:cs="Times New Roman"/>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492"/>
      </w:tblGrid>
      <w:tr w:rsidR="00744142" w:rsidRPr="00744142" w14:paraId="6DF5F9DF" w14:textId="77777777" w:rsidTr="00313EB9">
        <w:tc>
          <w:tcPr>
            <w:tcW w:w="3289" w:type="dxa"/>
            <w:shd w:val="clear" w:color="auto" w:fill="auto"/>
          </w:tcPr>
          <w:p w14:paraId="369E5EA3"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b/>
                <w:color w:val="000000"/>
                <w:lang w:val="uk-UA" w:eastAsia="ru-RU"/>
              </w:rPr>
            </w:pPr>
            <w:r w:rsidRPr="00744142">
              <w:rPr>
                <w:rFonts w:ascii="Times New Roman" w:eastAsia="Calibri" w:hAnsi="Times New Roman" w:cs="Times New Roman"/>
                <w:b/>
                <w:color w:val="000000"/>
                <w:lang w:val="uk-UA" w:eastAsia="ru-RU"/>
              </w:rPr>
              <w:t>Умова</w:t>
            </w:r>
          </w:p>
        </w:tc>
        <w:tc>
          <w:tcPr>
            <w:tcW w:w="6492" w:type="dxa"/>
            <w:shd w:val="clear" w:color="auto" w:fill="auto"/>
          </w:tcPr>
          <w:p w14:paraId="74A1603D"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b/>
                <w:color w:val="000000"/>
                <w:lang w:val="uk-UA" w:eastAsia="ru-RU"/>
              </w:rPr>
            </w:pPr>
            <w:r w:rsidRPr="00744142">
              <w:rPr>
                <w:rFonts w:ascii="Times New Roman" w:eastAsia="Calibri" w:hAnsi="Times New Roman" w:cs="Times New Roman"/>
                <w:b/>
                <w:color w:val="000000"/>
                <w:lang w:val="uk-UA" w:eastAsia="ru-RU"/>
              </w:rPr>
              <w:t>Пропозиція</w:t>
            </w:r>
          </w:p>
        </w:tc>
      </w:tr>
      <w:tr w:rsidR="00744142" w:rsidRPr="00744142" w14:paraId="25AC3C0F" w14:textId="77777777" w:rsidTr="00313EB9">
        <w:tc>
          <w:tcPr>
            <w:tcW w:w="3289" w:type="dxa"/>
            <w:shd w:val="clear" w:color="auto" w:fill="auto"/>
          </w:tcPr>
          <w:p w14:paraId="107FC7A4"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rPr>
            </w:pPr>
            <w:r w:rsidRPr="00744142">
              <w:rPr>
                <w:rFonts w:ascii="Times New Roman" w:eastAsia="Times New Roman" w:hAnsi="Times New Roman" w:cs="Times New Roman"/>
                <w:lang w:val="uk-UA" w:eastAsia="uk-UA"/>
              </w:rPr>
              <w:t>Критерії, яким має відповідати особа, що обирає дану комерційну пропозицію</w:t>
            </w:r>
          </w:p>
        </w:tc>
        <w:tc>
          <w:tcPr>
            <w:tcW w:w="6492" w:type="dxa"/>
            <w:shd w:val="clear" w:color="auto" w:fill="auto"/>
          </w:tcPr>
          <w:p w14:paraId="111A9A26"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-малі непобутові споживачі, електроустановки яких приєднані до електричних мереж з договірною потужністю до 50 кВт</w:t>
            </w:r>
          </w:p>
          <w:p w14:paraId="449866CA"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p>
        </w:tc>
      </w:tr>
      <w:tr w:rsidR="00744142" w:rsidRPr="00744142" w14:paraId="2C7CBDC1" w14:textId="77777777" w:rsidTr="00313EB9">
        <w:tc>
          <w:tcPr>
            <w:tcW w:w="3289" w:type="dxa"/>
            <w:shd w:val="clear" w:color="auto" w:fill="auto"/>
          </w:tcPr>
          <w:p w14:paraId="5B88DBC5"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Ціна (тариф) електричної енергії</w:t>
            </w:r>
          </w:p>
        </w:tc>
        <w:tc>
          <w:tcPr>
            <w:tcW w:w="6492" w:type="dxa"/>
            <w:shd w:val="clear" w:color="auto" w:fill="auto"/>
          </w:tcPr>
          <w:p w14:paraId="2C6409FB"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4DFADDD" w14:textId="080EB38E" w:rsidR="00744142" w:rsidRPr="00744142" w:rsidRDefault="00744142" w:rsidP="00744142">
            <w:pPr>
              <w:spacing w:after="0" w:line="240" w:lineRule="auto"/>
              <w:contextualSpacing/>
              <w:mirrorIndents/>
              <w:jc w:val="both"/>
              <w:rPr>
                <w:rFonts w:ascii="Times New Roman" w:eastAsia="Times New Roman" w:hAnsi="Times New Roman" w:cs="Times New Roman"/>
                <w:b/>
                <w:lang w:val="uk-UA" w:eastAsia="uk-UA"/>
              </w:rPr>
            </w:pPr>
            <w:r w:rsidRPr="00744142">
              <w:rPr>
                <w:rFonts w:ascii="Times New Roman" w:eastAsia="Times New Roman" w:hAnsi="Times New Roman" w:cs="Times New Roman"/>
                <w:lang w:val="uk-UA" w:eastAsia="uk-UA"/>
              </w:rPr>
              <w:t xml:space="preserve">Ціна на універсальні послуги для споживачів, </w:t>
            </w:r>
            <w:r w:rsidRPr="00744142">
              <w:rPr>
                <w:rFonts w:ascii="Times New Roman" w:eastAsia="Times New Roman" w:hAnsi="Times New Roman" w:cs="Times New Roman"/>
                <w:b/>
                <w:lang w:val="uk-UA" w:eastAsia="uk-UA"/>
              </w:rPr>
              <w:t>електроустановки яких приєднані до мереж АТ "ВІННИЦЯОБЛЕНЕРГО"</w:t>
            </w:r>
            <w:r w:rsidRPr="00744142">
              <w:rPr>
                <w:rFonts w:ascii="Times New Roman" w:eastAsia="Times New Roman" w:hAnsi="Times New Roman" w:cs="Times New Roman"/>
                <w:lang w:val="uk-UA" w:eastAsia="uk-UA"/>
              </w:rPr>
              <w:t xml:space="preserve"> згідно з класом напруги, на </w:t>
            </w:r>
            <w:r w:rsidR="00AC27F5">
              <w:rPr>
                <w:rFonts w:ascii="Times New Roman" w:eastAsia="Times New Roman" w:hAnsi="Times New Roman" w:cs="Times New Roman"/>
                <w:b/>
                <w:bCs/>
                <w:lang w:val="uk-UA" w:eastAsia="uk-UA"/>
              </w:rPr>
              <w:t>лютий</w:t>
            </w:r>
            <w:r w:rsidR="00870556">
              <w:rPr>
                <w:rFonts w:ascii="Times New Roman" w:eastAsia="Times New Roman" w:hAnsi="Times New Roman" w:cs="Times New Roman"/>
                <w:b/>
                <w:lang w:val="uk-UA" w:eastAsia="uk-UA"/>
              </w:rPr>
              <w:t xml:space="preserve"> 202</w:t>
            </w:r>
            <w:r w:rsidR="00D81170">
              <w:rPr>
                <w:rFonts w:ascii="Times New Roman" w:eastAsia="Times New Roman" w:hAnsi="Times New Roman" w:cs="Times New Roman"/>
                <w:b/>
                <w:lang w:val="uk-UA" w:eastAsia="uk-UA"/>
              </w:rPr>
              <w:t>5</w:t>
            </w:r>
            <w:r w:rsidR="00913039">
              <w:rPr>
                <w:rFonts w:ascii="Times New Roman" w:eastAsia="Times New Roman" w:hAnsi="Times New Roman" w:cs="Times New Roman"/>
                <w:b/>
                <w:lang w:val="uk-UA" w:eastAsia="uk-UA"/>
              </w:rPr>
              <w:t xml:space="preserve"> </w:t>
            </w:r>
            <w:r w:rsidRPr="00744142">
              <w:rPr>
                <w:rFonts w:ascii="Times New Roman" w:eastAsia="Times New Roman" w:hAnsi="Times New Roman" w:cs="Times New Roman"/>
                <w:b/>
                <w:lang w:val="uk-UA" w:eastAsia="uk-UA"/>
              </w:rPr>
              <w:t xml:space="preserve">року становить: </w:t>
            </w:r>
          </w:p>
          <w:p w14:paraId="641DBC4B" w14:textId="1093478A" w:rsidR="00744142" w:rsidRPr="00744142" w:rsidRDefault="00C47753" w:rsidP="00744142">
            <w:pPr>
              <w:spacing w:after="0" w:line="240" w:lineRule="auto"/>
              <w:contextualSpacing/>
              <w:mirrorIndents/>
              <w:jc w:val="both"/>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І клас –</w:t>
            </w:r>
            <w:r w:rsidR="008A503F">
              <w:rPr>
                <w:rFonts w:ascii="Times New Roman" w:eastAsia="Times New Roman" w:hAnsi="Times New Roman" w:cs="Times New Roman"/>
                <w:b/>
                <w:lang w:val="uk-UA" w:eastAsia="uk-UA"/>
              </w:rPr>
              <w:t xml:space="preserve"> </w:t>
            </w:r>
            <w:r w:rsidR="00AC27F5">
              <w:rPr>
                <w:rFonts w:ascii="Times New Roman" w:eastAsia="Times New Roman" w:hAnsi="Times New Roman" w:cs="Times New Roman"/>
                <w:b/>
                <w:lang w:val="uk-UA" w:eastAsia="uk-UA"/>
              </w:rPr>
              <w:t>7, 06415</w:t>
            </w:r>
            <w:r w:rsidR="00803850">
              <w:rPr>
                <w:rFonts w:ascii="Times New Roman" w:eastAsia="Times New Roman" w:hAnsi="Times New Roman" w:cs="Times New Roman"/>
                <w:b/>
                <w:lang w:val="uk-UA" w:eastAsia="uk-UA"/>
              </w:rPr>
              <w:t xml:space="preserve"> </w:t>
            </w:r>
            <w:r w:rsidR="00C344B9">
              <w:rPr>
                <w:rFonts w:ascii="Times New Roman" w:eastAsia="Times New Roman" w:hAnsi="Times New Roman" w:cs="Times New Roman"/>
                <w:b/>
                <w:lang w:val="uk-UA" w:eastAsia="uk-UA"/>
              </w:rPr>
              <w:t>г</w:t>
            </w:r>
            <w:r w:rsidR="00744142" w:rsidRPr="00744142">
              <w:rPr>
                <w:rFonts w:ascii="Times New Roman" w:eastAsia="Times New Roman" w:hAnsi="Times New Roman" w:cs="Times New Roman"/>
                <w:b/>
                <w:lang w:val="uk-UA" w:eastAsia="uk-UA"/>
              </w:rPr>
              <w:t xml:space="preserve">рн/кВт*год (без ПДВ); </w:t>
            </w:r>
          </w:p>
          <w:p w14:paraId="63CD6E3F" w14:textId="28893D32" w:rsidR="00744142" w:rsidRPr="00744142" w:rsidRDefault="002C2E68" w:rsidP="00744142">
            <w:pPr>
              <w:spacing w:after="0" w:line="240" w:lineRule="auto"/>
              <w:contextualSpacing/>
              <w:mirrorIndents/>
              <w:jc w:val="both"/>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 xml:space="preserve">ІІ клас </w:t>
            </w:r>
            <w:r w:rsidR="00D81170">
              <w:rPr>
                <w:rFonts w:ascii="Times New Roman" w:eastAsia="Times New Roman" w:hAnsi="Times New Roman" w:cs="Times New Roman"/>
                <w:b/>
                <w:lang w:val="uk-UA" w:eastAsia="uk-UA"/>
              </w:rPr>
              <w:t xml:space="preserve">8, </w:t>
            </w:r>
            <w:r w:rsidR="00AC27F5">
              <w:rPr>
                <w:rFonts w:ascii="Times New Roman" w:eastAsia="Times New Roman" w:hAnsi="Times New Roman" w:cs="Times New Roman"/>
                <w:b/>
                <w:lang w:val="uk-UA" w:eastAsia="uk-UA"/>
              </w:rPr>
              <w:t>92394</w:t>
            </w:r>
            <w:r w:rsidR="00803850">
              <w:rPr>
                <w:rFonts w:ascii="Times New Roman" w:eastAsia="Times New Roman" w:hAnsi="Times New Roman" w:cs="Times New Roman"/>
                <w:b/>
                <w:lang w:val="uk-UA" w:eastAsia="uk-UA"/>
              </w:rPr>
              <w:t xml:space="preserve"> </w:t>
            </w:r>
            <w:r w:rsidR="00744142" w:rsidRPr="00744142">
              <w:rPr>
                <w:rFonts w:ascii="Times New Roman" w:eastAsia="Times New Roman" w:hAnsi="Times New Roman" w:cs="Times New Roman"/>
                <w:b/>
                <w:lang w:val="uk-UA" w:eastAsia="uk-UA"/>
              </w:rPr>
              <w:t xml:space="preserve">грн/кВт*год (без ПДВ). </w:t>
            </w:r>
          </w:p>
          <w:p w14:paraId="5B0B6165"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p>
          <w:p w14:paraId="5EA438DB" w14:textId="5EA0F7DD" w:rsidR="00744142" w:rsidRPr="00744142" w:rsidRDefault="00744142" w:rsidP="00744142">
            <w:pPr>
              <w:spacing w:after="0" w:line="240" w:lineRule="auto"/>
              <w:contextualSpacing/>
              <w:mirrorIndents/>
              <w:jc w:val="both"/>
              <w:rPr>
                <w:rFonts w:ascii="Times New Roman" w:eastAsia="Times New Roman" w:hAnsi="Times New Roman" w:cs="Times New Roman"/>
                <w:b/>
                <w:lang w:val="uk-UA" w:eastAsia="uk-UA"/>
              </w:rPr>
            </w:pPr>
            <w:r w:rsidRPr="00744142">
              <w:rPr>
                <w:rFonts w:ascii="Times New Roman" w:eastAsia="Times New Roman" w:hAnsi="Times New Roman" w:cs="Times New Roman"/>
                <w:lang w:val="uk-UA" w:eastAsia="uk-UA"/>
              </w:rPr>
              <w:t xml:space="preserve">Ціна на універсальні послуги для малих непобутових споживачів, </w:t>
            </w:r>
            <w:r w:rsidRPr="00744142">
              <w:rPr>
                <w:rFonts w:ascii="Times New Roman" w:eastAsia="Times New Roman" w:hAnsi="Times New Roman" w:cs="Times New Roman"/>
                <w:b/>
                <w:lang w:val="uk-UA" w:eastAsia="uk-UA"/>
              </w:rPr>
              <w:t>електроустановки яких приєднані до мереж АТ "Укрзалізниця"</w:t>
            </w:r>
            <w:r w:rsidRPr="00744142">
              <w:rPr>
                <w:rFonts w:ascii="Times New Roman" w:eastAsia="Times New Roman" w:hAnsi="Times New Roman" w:cs="Times New Roman"/>
                <w:lang w:val="uk-UA" w:eastAsia="uk-UA"/>
              </w:rPr>
              <w:t xml:space="preserve"> згідно з класом напруги, </w:t>
            </w:r>
            <w:r w:rsidRPr="00744142">
              <w:rPr>
                <w:rFonts w:ascii="Times New Roman" w:eastAsia="Times New Roman" w:hAnsi="Times New Roman" w:cs="Times New Roman"/>
                <w:b/>
                <w:lang w:val="uk-UA" w:eastAsia="uk-UA"/>
              </w:rPr>
              <w:t xml:space="preserve">на </w:t>
            </w:r>
            <w:r w:rsidR="00AC27F5">
              <w:rPr>
                <w:rFonts w:ascii="Times New Roman" w:eastAsia="Times New Roman" w:hAnsi="Times New Roman" w:cs="Times New Roman"/>
                <w:b/>
                <w:lang w:val="uk-UA" w:eastAsia="uk-UA"/>
              </w:rPr>
              <w:t>лютий</w:t>
            </w:r>
            <w:bookmarkStart w:id="0" w:name="_GoBack"/>
            <w:bookmarkEnd w:id="0"/>
            <w:r w:rsidR="00C43296">
              <w:rPr>
                <w:rFonts w:ascii="Times New Roman" w:eastAsia="Times New Roman" w:hAnsi="Times New Roman" w:cs="Times New Roman"/>
                <w:b/>
                <w:lang w:val="uk-UA" w:eastAsia="uk-UA"/>
              </w:rPr>
              <w:t xml:space="preserve"> </w:t>
            </w:r>
            <w:r w:rsidR="00D149DD">
              <w:rPr>
                <w:rFonts w:ascii="Times New Roman" w:eastAsia="Times New Roman" w:hAnsi="Times New Roman" w:cs="Times New Roman"/>
                <w:b/>
                <w:lang w:val="uk-UA" w:eastAsia="uk-UA"/>
              </w:rPr>
              <w:t>202</w:t>
            </w:r>
            <w:r w:rsidR="00D81170">
              <w:rPr>
                <w:rFonts w:ascii="Times New Roman" w:eastAsia="Times New Roman" w:hAnsi="Times New Roman" w:cs="Times New Roman"/>
                <w:b/>
                <w:lang w:val="uk-UA" w:eastAsia="uk-UA"/>
              </w:rPr>
              <w:t>5</w:t>
            </w:r>
            <w:r w:rsidR="00C43296">
              <w:rPr>
                <w:rFonts w:ascii="Times New Roman" w:eastAsia="Times New Roman" w:hAnsi="Times New Roman" w:cs="Times New Roman"/>
                <w:b/>
                <w:lang w:val="uk-UA" w:eastAsia="uk-UA"/>
              </w:rPr>
              <w:t xml:space="preserve"> </w:t>
            </w:r>
            <w:r w:rsidRPr="00744142">
              <w:rPr>
                <w:rFonts w:ascii="Times New Roman" w:eastAsia="Times New Roman" w:hAnsi="Times New Roman" w:cs="Times New Roman"/>
                <w:b/>
                <w:lang w:val="uk-UA" w:eastAsia="uk-UA"/>
              </w:rPr>
              <w:t xml:space="preserve">року становить: </w:t>
            </w:r>
          </w:p>
          <w:p w14:paraId="5D26093E" w14:textId="1CB892A7" w:rsidR="00744142" w:rsidRPr="00744142" w:rsidRDefault="00C47753" w:rsidP="00744142">
            <w:pPr>
              <w:spacing w:after="0" w:line="240" w:lineRule="auto"/>
              <w:contextualSpacing/>
              <w:mirrorIndents/>
              <w:jc w:val="both"/>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І клас –</w:t>
            </w:r>
            <w:r w:rsidR="008A503F">
              <w:rPr>
                <w:rFonts w:ascii="Times New Roman" w:eastAsia="Times New Roman" w:hAnsi="Times New Roman" w:cs="Times New Roman"/>
                <w:b/>
                <w:lang w:val="uk-UA" w:eastAsia="uk-UA"/>
              </w:rPr>
              <w:t xml:space="preserve"> </w:t>
            </w:r>
            <w:r w:rsidR="00AC27F5">
              <w:rPr>
                <w:rFonts w:ascii="Times New Roman" w:eastAsia="Times New Roman" w:hAnsi="Times New Roman" w:cs="Times New Roman"/>
                <w:b/>
                <w:lang w:val="uk-UA" w:eastAsia="uk-UA"/>
              </w:rPr>
              <w:t>7, 11613</w:t>
            </w:r>
            <w:r w:rsidR="00803850">
              <w:rPr>
                <w:rFonts w:ascii="Times New Roman" w:eastAsia="Times New Roman" w:hAnsi="Times New Roman" w:cs="Times New Roman"/>
                <w:b/>
                <w:lang w:val="uk-UA" w:eastAsia="uk-UA"/>
              </w:rPr>
              <w:t xml:space="preserve"> </w:t>
            </w:r>
            <w:r w:rsidR="00744142" w:rsidRPr="00744142">
              <w:rPr>
                <w:rFonts w:ascii="Times New Roman" w:eastAsia="Times New Roman" w:hAnsi="Times New Roman" w:cs="Times New Roman"/>
                <w:b/>
                <w:lang w:val="uk-UA" w:eastAsia="uk-UA"/>
              </w:rPr>
              <w:t xml:space="preserve">грн/кВт*год (без ПДВ); </w:t>
            </w:r>
          </w:p>
          <w:p w14:paraId="173D67A4" w14:textId="5378CA2F" w:rsidR="00744142" w:rsidRPr="00744142" w:rsidRDefault="008D1945" w:rsidP="00744142">
            <w:pPr>
              <w:spacing w:after="0" w:line="240" w:lineRule="auto"/>
              <w:contextualSpacing/>
              <w:mirrorIndents/>
              <w:jc w:val="both"/>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 xml:space="preserve">ІІ клас – </w:t>
            </w:r>
            <w:r w:rsidR="00AC27F5">
              <w:rPr>
                <w:rFonts w:ascii="Times New Roman" w:eastAsia="Times New Roman" w:hAnsi="Times New Roman" w:cs="Times New Roman"/>
                <w:b/>
                <w:lang w:val="uk-UA" w:eastAsia="uk-UA"/>
              </w:rPr>
              <w:t>8, 46894</w:t>
            </w:r>
            <w:r w:rsidR="00803850">
              <w:rPr>
                <w:rFonts w:ascii="Times New Roman" w:eastAsia="Times New Roman" w:hAnsi="Times New Roman" w:cs="Times New Roman"/>
                <w:b/>
                <w:lang w:val="uk-UA" w:eastAsia="uk-UA"/>
              </w:rPr>
              <w:t xml:space="preserve"> </w:t>
            </w:r>
            <w:r w:rsidR="00744142" w:rsidRPr="00744142">
              <w:rPr>
                <w:rFonts w:ascii="Times New Roman" w:eastAsia="Times New Roman" w:hAnsi="Times New Roman" w:cs="Times New Roman"/>
                <w:b/>
                <w:lang w:val="uk-UA" w:eastAsia="uk-UA"/>
              </w:rPr>
              <w:t>грн/кВт*год (без ПДВ)</w:t>
            </w:r>
            <w:r w:rsidR="00E014FA">
              <w:rPr>
                <w:rFonts w:ascii="Times New Roman" w:eastAsia="Times New Roman" w:hAnsi="Times New Roman" w:cs="Times New Roman"/>
                <w:b/>
                <w:lang w:val="uk-UA" w:eastAsia="uk-UA"/>
              </w:rPr>
              <w:t>.</w:t>
            </w:r>
          </w:p>
          <w:p w14:paraId="29BDC96F" w14:textId="63B5B6E1" w:rsidR="00744142" w:rsidRPr="00744142" w:rsidRDefault="00744142" w:rsidP="00744142">
            <w:pPr>
              <w:spacing w:after="0" w:line="240" w:lineRule="auto"/>
              <w:contextualSpacing/>
              <w:mirrorIndents/>
              <w:jc w:val="both"/>
              <w:rPr>
                <w:rFonts w:ascii="Times New Roman" w:eastAsia="Times New Roman" w:hAnsi="Times New Roman" w:cs="Times New Roman"/>
                <w:lang w:eastAsia="uk-UA"/>
              </w:rPr>
            </w:pPr>
            <w:r w:rsidRPr="00744142">
              <w:rPr>
                <w:rFonts w:ascii="Times New Roman" w:eastAsia="Times New Roman" w:hAnsi="Times New Roman" w:cs="Times New Roman"/>
                <w:lang w:val="uk-UA" w:eastAsia="uk-UA"/>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6" w:history="1">
              <w:r w:rsidR="00803850" w:rsidRPr="0030477F">
                <w:rPr>
                  <w:rStyle w:val="a3"/>
                  <w:rFonts w:ascii="Times New Roman" w:eastAsia="Times New Roman" w:hAnsi="Times New Roman" w:cs="Times New Roman"/>
                  <w:lang w:val="uk-UA" w:eastAsia="uk-UA"/>
                </w:rPr>
                <w:t>http</w:t>
              </w:r>
              <w:r w:rsidR="00803850" w:rsidRPr="0030477F">
                <w:rPr>
                  <w:rStyle w:val="a3"/>
                  <w:rFonts w:ascii="Times New Roman" w:eastAsia="Times New Roman" w:hAnsi="Times New Roman" w:cs="Times New Roman"/>
                  <w:lang w:eastAsia="uk-UA"/>
                </w:rPr>
                <w:t>://</w:t>
              </w:r>
              <w:r w:rsidR="00803850" w:rsidRPr="0030477F">
                <w:rPr>
                  <w:rStyle w:val="a3"/>
                  <w:rFonts w:ascii="Times New Roman" w:eastAsia="Times New Roman" w:hAnsi="Times New Roman" w:cs="Times New Roman"/>
                  <w:lang w:val="en-US" w:eastAsia="uk-UA"/>
                </w:rPr>
                <w:t>v</w:t>
              </w:r>
              <w:r w:rsidR="00803850" w:rsidRPr="0030477F">
                <w:rPr>
                  <w:rStyle w:val="a3"/>
                  <w:rFonts w:ascii="Times New Roman" w:eastAsia="Times New Roman" w:hAnsi="Times New Roman" w:cs="Times New Roman"/>
                  <w:lang w:val="uk-UA" w:eastAsia="uk-UA"/>
                </w:rPr>
                <w:t>n</w:t>
              </w:r>
              <w:r w:rsidR="00803850" w:rsidRPr="0030477F">
                <w:rPr>
                  <w:rStyle w:val="a3"/>
                  <w:rFonts w:ascii="Times New Roman" w:eastAsia="Times New Roman" w:hAnsi="Times New Roman" w:cs="Times New Roman"/>
                  <w:lang w:eastAsia="uk-UA"/>
                </w:rPr>
                <w:t>.</w:t>
              </w:r>
              <w:r w:rsidR="00803850" w:rsidRPr="0030477F">
                <w:rPr>
                  <w:rStyle w:val="a3"/>
                  <w:rFonts w:ascii="Times New Roman" w:eastAsia="Times New Roman" w:hAnsi="Times New Roman" w:cs="Times New Roman"/>
                  <w:lang w:val="uk-UA" w:eastAsia="uk-UA"/>
                </w:rPr>
                <w:t>enera</w:t>
              </w:r>
              <w:r w:rsidR="00803850" w:rsidRPr="0030477F">
                <w:rPr>
                  <w:rStyle w:val="a3"/>
                  <w:rFonts w:ascii="Times New Roman" w:eastAsia="Times New Roman" w:hAnsi="Times New Roman" w:cs="Times New Roman"/>
                  <w:lang w:eastAsia="uk-UA"/>
                </w:rPr>
                <w:t>.</w:t>
              </w:r>
              <w:r w:rsidR="00803850" w:rsidRPr="0030477F">
                <w:rPr>
                  <w:rStyle w:val="a3"/>
                  <w:rFonts w:ascii="Times New Roman" w:eastAsia="Times New Roman" w:hAnsi="Times New Roman" w:cs="Times New Roman"/>
                  <w:lang w:val="uk-UA" w:eastAsia="uk-UA"/>
                </w:rPr>
                <w:t>ua</w:t>
              </w:r>
              <w:r w:rsidR="00803850" w:rsidRPr="0030477F">
                <w:rPr>
                  <w:rStyle w:val="a3"/>
                  <w:rFonts w:ascii="Times New Roman" w:eastAsia="Times New Roman" w:hAnsi="Times New Roman" w:cs="Times New Roman"/>
                  <w:lang w:eastAsia="uk-UA"/>
                </w:rPr>
                <w:t>/</w:t>
              </w:r>
            </w:hyperlink>
            <w:r w:rsidR="00803850">
              <w:rPr>
                <w:rFonts w:ascii="Times New Roman" w:eastAsia="Times New Roman" w:hAnsi="Times New Roman" w:cs="Times New Roman"/>
                <w:lang w:val="uk-UA" w:eastAsia="uk-UA"/>
              </w:rPr>
              <w:t xml:space="preserve"> </w:t>
            </w:r>
            <w:r w:rsidRPr="00744142">
              <w:rPr>
                <w:rFonts w:ascii="Times New Roman" w:eastAsia="Times New Roman" w:hAnsi="Times New Roman" w:cs="Times New Roman"/>
                <w:lang w:eastAsia="uk-UA"/>
              </w:rPr>
              <w:t xml:space="preserve"> </w:t>
            </w:r>
          </w:p>
          <w:p w14:paraId="70E56C68"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744142" w:rsidRPr="00744142" w14:paraId="0F2808AB" w14:textId="77777777" w:rsidTr="00313EB9">
        <w:tc>
          <w:tcPr>
            <w:tcW w:w="3289" w:type="dxa"/>
            <w:shd w:val="clear" w:color="auto" w:fill="auto"/>
          </w:tcPr>
          <w:p w14:paraId="48886536"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Територія здійснення діяльності оператора системи розподілу, доступ до якої має електропостачальник</w:t>
            </w:r>
          </w:p>
        </w:tc>
        <w:tc>
          <w:tcPr>
            <w:tcW w:w="6492" w:type="dxa"/>
            <w:shd w:val="clear" w:color="auto" w:fill="auto"/>
          </w:tcPr>
          <w:p w14:paraId="339FA920"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Вінницька область</w:t>
            </w:r>
          </w:p>
        </w:tc>
      </w:tr>
      <w:tr w:rsidR="00744142" w:rsidRPr="00744142" w14:paraId="5768C36B" w14:textId="77777777" w:rsidTr="00313EB9">
        <w:tc>
          <w:tcPr>
            <w:tcW w:w="3289" w:type="dxa"/>
            <w:shd w:val="clear" w:color="auto" w:fill="auto"/>
          </w:tcPr>
          <w:p w14:paraId="0DE14C02"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 xml:space="preserve">Спосіб оплати </w:t>
            </w:r>
          </w:p>
        </w:tc>
        <w:tc>
          <w:tcPr>
            <w:tcW w:w="6492" w:type="dxa"/>
            <w:shd w:val="clear" w:color="auto" w:fill="auto"/>
          </w:tcPr>
          <w:p w14:paraId="172DB1EF"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rPr>
            </w:pPr>
            <w:r w:rsidRPr="00744142">
              <w:rPr>
                <w:rFonts w:ascii="Times New Roman" w:eastAsia="Times New Roman" w:hAnsi="Times New Roman" w:cs="Times New Roman"/>
                <w:lang w:val="uk-UA" w:eastAsia="uk-UA"/>
              </w:rPr>
              <w:t xml:space="preserve">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 </w:t>
            </w:r>
          </w:p>
          <w:p w14:paraId="4F0FE30F"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Попередня оплата здійснюється за 5 днів до початку розрахункового періоду у розмірі повної вартості заявленого обсягу споживання електричної енергії на відповідний розрахунковий період.</w:t>
            </w:r>
          </w:p>
          <w:p w14:paraId="2F8689FF"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744142" w:rsidRPr="00744142" w14:paraId="02B7361F" w14:textId="77777777" w:rsidTr="00313EB9">
        <w:tc>
          <w:tcPr>
            <w:tcW w:w="3289" w:type="dxa"/>
            <w:shd w:val="clear" w:color="auto" w:fill="auto"/>
          </w:tcPr>
          <w:p w14:paraId="691DBA28"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Термін надання рахунку за спожиту електричну енергію (дата)</w:t>
            </w:r>
          </w:p>
        </w:tc>
        <w:tc>
          <w:tcPr>
            <w:tcW w:w="6492" w:type="dxa"/>
            <w:shd w:val="clear" w:color="auto" w:fill="auto"/>
          </w:tcPr>
          <w:p w14:paraId="347B8C04"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 xml:space="preserve">Рахунок надається Споживачу не пізніше десятого робочого дня місяця, наступного за розрахунковим. </w:t>
            </w:r>
          </w:p>
        </w:tc>
      </w:tr>
      <w:tr w:rsidR="00744142" w:rsidRPr="00744142" w14:paraId="245C32F1" w14:textId="77777777" w:rsidTr="00313EB9">
        <w:tc>
          <w:tcPr>
            <w:tcW w:w="3289" w:type="dxa"/>
            <w:shd w:val="clear" w:color="auto" w:fill="auto"/>
          </w:tcPr>
          <w:p w14:paraId="49A3ED5F"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Строк оплати</w:t>
            </w:r>
          </w:p>
        </w:tc>
        <w:tc>
          <w:tcPr>
            <w:tcW w:w="6492" w:type="dxa"/>
            <w:shd w:val="clear" w:color="auto" w:fill="auto"/>
          </w:tcPr>
          <w:p w14:paraId="30D63280"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Протягом 5 робочих днів від дати отримання рахунка</w:t>
            </w:r>
          </w:p>
        </w:tc>
      </w:tr>
      <w:tr w:rsidR="00744142" w:rsidRPr="00744142" w14:paraId="3F65B0EC" w14:textId="77777777" w:rsidTr="00313EB9">
        <w:tc>
          <w:tcPr>
            <w:tcW w:w="3289" w:type="dxa"/>
            <w:shd w:val="clear" w:color="auto" w:fill="auto"/>
          </w:tcPr>
          <w:p w14:paraId="001B043F"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lastRenderedPageBreak/>
              <w:t>Спосіб оплати послуг з розподілу електричної енергії</w:t>
            </w:r>
          </w:p>
        </w:tc>
        <w:tc>
          <w:tcPr>
            <w:tcW w:w="6492" w:type="dxa"/>
            <w:shd w:val="clear" w:color="auto" w:fill="auto"/>
          </w:tcPr>
          <w:p w14:paraId="277E9D4F" w14:textId="77777777" w:rsidR="00744142" w:rsidRPr="00744142" w:rsidRDefault="00744142" w:rsidP="00744142">
            <w:pPr>
              <w:spacing w:after="0" w:line="240" w:lineRule="auto"/>
              <w:contextualSpacing/>
              <w:mirrorIndents/>
              <w:rPr>
                <w:rFonts w:ascii="Times New Roman" w:eastAsia="Calibri" w:hAnsi="Times New Roman" w:cs="Times New Roman"/>
                <w:lang w:eastAsia="uk-UA"/>
              </w:rPr>
            </w:pPr>
            <w:r w:rsidRPr="00744142">
              <w:rPr>
                <w:rFonts w:ascii="Times New Roman" w:eastAsia="Calibri" w:hAnsi="Times New Roman" w:cs="Times New Roman"/>
                <w:lang w:val="uk-UA" w:eastAsia="uk-UA"/>
              </w:rPr>
              <w:t>Ч</w:t>
            </w:r>
            <w:r w:rsidRPr="00744142">
              <w:rPr>
                <w:rFonts w:ascii="Times New Roman" w:eastAsia="Calibri" w:hAnsi="Times New Roman" w:cs="Times New Roman"/>
                <w:lang w:eastAsia="uk-UA"/>
              </w:rPr>
              <w:t>ерез Постачальника з наступним переведенням цієї оплати оператору системи розподілу</w:t>
            </w:r>
          </w:p>
        </w:tc>
      </w:tr>
      <w:tr w:rsidR="00744142" w:rsidRPr="00AC27F5" w14:paraId="2A630EFC" w14:textId="77777777" w:rsidTr="00313EB9">
        <w:tc>
          <w:tcPr>
            <w:tcW w:w="3289" w:type="dxa"/>
            <w:shd w:val="clear" w:color="auto" w:fill="auto"/>
          </w:tcPr>
          <w:p w14:paraId="3B413210"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Розмір пені за порушення строку оплати</w:t>
            </w:r>
          </w:p>
        </w:tc>
        <w:tc>
          <w:tcPr>
            <w:tcW w:w="6492" w:type="dxa"/>
            <w:shd w:val="clear" w:color="auto" w:fill="auto"/>
          </w:tcPr>
          <w:p w14:paraId="4F2A71F8"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744142" w:rsidRPr="00744142" w14:paraId="680F6B39" w14:textId="77777777" w:rsidTr="00313EB9">
        <w:tc>
          <w:tcPr>
            <w:tcW w:w="3289" w:type="dxa"/>
            <w:shd w:val="clear" w:color="auto" w:fill="auto"/>
          </w:tcPr>
          <w:p w14:paraId="3542B5DC"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Розмір компенсації Споживачу за недодержання Постачальником якості надання комерційних послуг</w:t>
            </w:r>
          </w:p>
        </w:tc>
        <w:tc>
          <w:tcPr>
            <w:tcW w:w="6492" w:type="dxa"/>
            <w:shd w:val="clear" w:color="auto" w:fill="auto"/>
          </w:tcPr>
          <w:p w14:paraId="5B478A5E"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629422FF"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p>
        </w:tc>
      </w:tr>
      <w:tr w:rsidR="00744142" w:rsidRPr="00744142" w14:paraId="0532C204" w14:textId="77777777" w:rsidTr="00313EB9">
        <w:tc>
          <w:tcPr>
            <w:tcW w:w="3289" w:type="dxa"/>
            <w:shd w:val="clear" w:color="auto" w:fill="auto"/>
          </w:tcPr>
          <w:p w14:paraId="32915AB3"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Розмір штрафу за дострокове розірвання Договору у випадках, не передбачених умовами Договору</w:t>
            </w:r>
          </w:p>
        </w:tc>
        <w:tc>
          <w:tcPr>
            <w:tcW w:w="6492" w:type="dxa"/>
            <w:shd w:val="clear" w:color="auto" w:fill="auto"/>
          </w:tcPr>
          <w:p w14:paraId="0D515B93"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color w:val="000000"/>
                <w:lang w:eastAsia="ru-RU"/>
              </w:rPr>
            </w:pPr>
            <w:r w:rsidRPr="00744142">
              <w:rPr>
                <w:rFonts w:ascii="Times New Roman" w:eastAsia="Times New Roman" w:hAnsi="Times New Roman" w:cs="Times New Roman"/>
                <w:color w:val="000000"/>
                <w:lang w:eastAsia="ru-RU"/>
              </w:rPr>
              <w:t>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в місяці, в якому було подано повідомлення про дострокове припинення дії договору, або, у разі не повідомлення - в останньому місяці постачання.</w:t>
            </w:r>
          </w:p>
        </w:tc>
      </w:tr>
      <w:tr w:rsidR="00744142" w:rsidRPr="00744142" w14:paraId="5AAC50A5" w14:textId="77777777" w:rsidTr="00313EB9">
        <w:tc>
          <w:tcPr>
            <w:tcW w:w="3289" w:type="dxa"/>
            <w:shd w:val="clear" w:color="auto" w:fill="auto"/>
          </w:tcPr>
          <w:p w14:paraId="0749BBFE"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Термін дії Договору та умови пролонгації</w:t>
            </w:r>
          </w:p>
        </w:tc>
        <w:tc>
          <w:tcPr>
            <w:tcW w:w="6492" w:type="dxa"/>
            <w:shd w:val="clear" w:color="auto" w:fill="auto"/>
          </w:tcPr>
          <w:p w14:paraId="32BDBD04" w14:textId="77777777" w:rsidR="00744142" w:rsidRPr="00744142" w:rsidRDefault="00744142" w:rsidP="00744142">
            <w:pPr>
              <w:spacing w:after="0" w:line="240" w:lineRule="auto"/>
              <w:contextualSpacing/>
              <w:mirrorIndents/>
              <w:jc w:val="both"/>
              <w:rPr>
                <w:rFonts w:ascii="Times New Roman" w:eastAsia="Calibri" w:hAnsi="Times New Roman" w:cs="Times New Roman"/>
                <w:lang w:eastAsia="uk-UA"/>
              </w:rPr>
            </w:pPr>
            <w:r w:rsidRPr="00744142">
              <w:rPr>
                <w:rFonts w:ascii="Times New Roman" w:eastAsia="Calibri" w:hAnsi="Times New Roman" w:cs="Times New Roman"/>
                <w:lang w:eastAsia="uk-UA"/>
              </w:rPr>
              <w:t>до 31 грудня 20___  року. Договір  вважається продовженим  на  кожний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34090FB5" w14:textId="77777777" w:rsidR="00744142" w:rsidRPr="00744142" w:rsidRDefault="00744142" w:rsidP="00744142">
            <w:pPr>
              <w:spacing w:after="0" w:line="240" w:lineRule="auto"/>
              <w:contextualSpacing/>
              <w:mirrorIndents/>
              <w:jc w:val="both"/>
              <w:rPr>
                <w:rFonts w:ascii="Times New Roman" w:eastAsia="Calibri" w:hAnsi="Times New Roman" w:cs="Times New Roman"/>
                <w:lang w:eastAsia="uk-UA"/>
              </w:rPr>
            </w:pPr>
            <w:r w:rsidRPr="00744142">
              <w:rPr>
                <w:rFonts w:ascii="Times New Roman" w:eastAsia="Times New Roman" w:hAnsi="Times New Roman" w:cs="Times New Roman"/>
                <w:lang w:val="uk-UA" w:eastAsia="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744142">
              <w:rPr>
                <w:rFonts w:ascii="Times New Roman" w:eastAsia="Times New Roman" w:hAnsi="Times New Roman" w:cs="Times New Roman"/>
                <w:b/>
                <w:lang w:val="uk-UA" w:eastAsia="uk-UA"/>
              </w:rPr>
              <w:t>з «___»_______________20____ року.</w:t>
            </w:r>
          </w:p>
        </w:tc>
      </w:tr>
      <w:tr w:rsidR="00744142" w:rsidRPr="00744142" w14:paraId="23793EF0" w14:textId="77777777" w:rsidTr="00313EB9">
        <w:tc>
          <w:tcPr>
            <w:tcW w:w="3289" w:type="dxa"/>
            <w:shd w:val="clear" w:color="auto" w:fill="auto"/>
          </w:tcPr>
          <w:p w14:paraId="1F9EA522"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Calibri" w:hAnsi="Times New Roman" w:cs="Times New Roman"/>
                <w:color w:val="000000"/>
                <w:lang w:val="uk-UA" w:eastAsia="ru-RU"/>
              </w:rPr>
            </w:pPr>
            <w:r w:rsidRPr="00744142">
              <w:rPr>
                <w:rFonts w:ascii="Times New Roman" w:eastAsia="Calibri" w:hAnsi="Times New Roman" w:cs="Times New Roman"/>
                <w:color w:val="000000"/>
                <w:lang w:val="uk-UA" w:eastAsia="ru-RU"/>
              </w:rPr>
              <w:t>Можливість надання пільг, субсидій</w:t>
            </w:r>
          </w:p>
        </w:tc>
        <w:tc>
          <w:tcPr>
            <w:tcW w:w="6492" w:type="dxa"/>
            <w:shd w:val="clear" w:color="auto" w:fill="auto"/>
          </w:tcPr>
          <w:p w14:paraId="2431BF01" w14:textId="77777777" w:rsidR="00744142" w:rsidRPr="00744142" w:rsidRDefault="00744142" w:rsidP="00744142">
            <w:pPr>
              <w:spacing w:after="0" w:line="240" w:lineRule="auto"/>
              <w:contextualSpacing/>
              <w:mirrorIndents/>
              <w:jc w:val="both"/>
              <w:rPr>
                <w:rFonts w:ascii="Times New Roman" w:eastAsia="Calibri" w:hAnsi="Times New Roman" w:cs="Times New Roman"/>
                <w:lang w:eastAsia="uk-UA"/>
              </w:rPr>
            </w:pPr>
            <w:r w:rsidRPr="00744142">
              <w:rPr>
                <w:rFonts w:ascii="Times New Roman" w:eastAsia="Calibri" w:hAnsi="Times New Roman" w:cs="Times New Roman"/>
                <w:lang w:eastAsia="uk-UA"/>
              </w:rPr>
              <w:t>Не надаються</w:t>
            </w:r>
          </w:p>
        </w:tc>
      </w:tr>
      <w:tr w:rsidR="00744142" w:rsidRPr="00744142" w14:paraId="54A1298D" w14:textId="77777777" w:rsidTr="00313EB9">
        <w:tc>
          <w:tcPr>
            <w:tcW w:w="3289" w:type="dxa"/>
            <w:shd w:val="clear" w:color="auto" w:fill="auto"/>
          </w:tcPr>
          <w:p w14:paraId="7D705227"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color w:val="000000"/>
                <w:lang w:val="uk-UA" w:eastAsia="ru-RU"/>
              </w:rPr>
            </w:pPr>
            <w:r w:rsidRPr="00744142">
              <w:rPr>
                <w:rFonts w:ascii="Times New Roman" w:eastAsia="Times New Roman" w:hAnsi="Times New Roman" w:cs="Times New Roman"/>
                <w:color w:val="000000"/>
                <w:lang w:val="uk-UA" w:eastAsia="ru-RU"/>
              </w:rPr>
              <w:t>Можливість постачання захищеним споживачам</w:t>
            </w:r>
          </w:p>
        </w:tc>
        <w:tc>
          <w:tcPr>
            <w:tcW w:w="6492" w:type="dxa"/>
            <w:shd w:val="clear" w:color="auto" w:fill="auto"/>
          </w:tcPr>
          <w:p w14:paraId="590CA19F"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744142" w:rsidRPr="00AC27F5" w14:paraId="4E346EAE" w14:textId="77777777" w:rsidTr="00313EB9">
        <w:tc>
          <w:tcPr>
            <w:tcW w:w="3289" w:type="dxa"/>
            <w:shd w:val="clear" w:color="auto" w:fill="auto"/>
          </w:tcPr>
          <w:p w14:paraId="45C3E96D"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color w:val="000000"/>
                <w:highlight w:val="green"/>
                <w:lang w:val="uk-UA" w:eastAsia="ru-RU"/>
              </w:rPr>
            </w:pPr>
            <w:r w:rsidRPr="00744142">
              <w:rPr>
                <w:rFonts w:ascii="Times New Roman" w:eastAsia="Times New Roman" w:hAnsi="Times New Roman" w:cs="Times New Roman"/>
                <w:color w:val="000000"/>
                <w:lang w:val="uk-UA" w:eastAsia="ru-RU"/>
              </w:rPr>
              <w:t>Інші умови</w:t>
            </w:r>
          </w:p>
        </w:tc>
        <w:tc>
          <w:tcPr>
            <w:tcW w:w="6492" w:type="dxa"/>
            <w:shd w:val="clear" w:color="auto" w:fill="auto"/>
          </w:tcPr>
          <w:p w14:paraId="07DEE753"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D5CFDC6"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через особистий кабінет на своєму офіційному сайті у мережі Інтернет,</w:t>
            </w:r>
          </w:p>
          <w:p w14:paraId="43804542"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-засобами електронного зв'язку на електронну адресу, вказану у заяві-приєднання до умов договору, </w:t>
            </w:r>
          </w:p>
          <w:p w14:paraId="2AEDD4E3"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 на поштову адресу місця реєстрації юридичної особи, </w:t>
            </w:r>
          </w:p>
          <w:p w14:paraId="010CCF20"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 xml:space="preserve">-СМС-повідомленням на номер, зазначений у заяві-приєднання до умов договору, </w:t>
            </w:r>
          </w:p>
          <w:p w14:paraId="6372BD1D"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-в центрах обслуговування споживачів.</w:t>
            </w:r>
          </w:p>
          <w:p w14:paraId="43CDEE1C" w14:textId="77777777" w:rsidR="00744142" w:rsidRPr="00744142" w:rsidRDefault="00744142" w:rsidP="00744142">
            <w:pPr>
              <w:spacing w:after="0" w:line="240" w:lineRule="auto"/>
              <w:contextualSpacing/>
              <w:mirrorIndents/>
              <w:jc w:val="both"/>
              <w:rPr>
                <w:rFonts w:ascii="Times New Roman" w:eastAsia="Times New Roman" w:hAnsi="Times New Roman" w:cs="Times New Roman"/>
                <w:lang w:val="uk-UA" w:eastAsia="uk-UA"/>
              </w:rPr>
            </w:pPr>
            <w:r w:rsidRPr="00744142">
              <w:rPr>
                <w:rFonts w:ascii="Times New Roman" w:eastAsia="Times New Roman" w:hAnsi="Times New Roman" w:cs="Times New Roman"/>
                <w:lang w:val="uk-UA" w:eastAsia="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14:paraId="4C86E021" w14:textId="77777777" w:rsidR="00744142" w:rsidRPr="00744142" w:rsidRDefault="00744142" w:rsidP="0074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mirrorIndents/>
        <w:jc w:val="both"/>
        <w:rPr>
          <w:rFonts w:ascii="Times New Roman" w:eastAsia="Times New Roman" w:hAnsi="Times New Roman" w:cs="Times New Roman"/>
          <w:color w:val="000000"/>
          <w:lang w:val="uk-UA" w:eastAsia="ru-RU"/>
        </w:rPr>
      </w:pPr>
    </w:p>
    <w:tbl>
      <w:tblPr>
        <w:tblW w:w="10378" w:type="dxa"/>
        <w:tblInd w:w="-176" w:type="dxa"/>
        <w:tblLayout w:type="fixed"/>
        <w:tblLook w:val="0000" w:firstRow="0" w:lastRow="0" w:firstColumn="0" w:lastColumn="0" w:noHBand="0" w:noVBand="0"/>
      </w:tblPr>
      <w:tblGrid>
        <w:gridCol w:w="5102"/>
        <w:gridCol w:w="237"/>
        <w:gridCol w:w="5039"/>
      </w:tblGrid>
      <w:tr w:rsidR="00744142" w:rsidRPr="00744142" w14:paraId="7D72D7A9" w14:textId="77777777" w:rsidTr="00313EB9">
        <w:trPr>
          <w:trHeight w:val="296"/>
        </w:trPr>
        <w:tc>
          <w:tcPr>
            <w:tcW w:w="5102" w:type="dxa"/>
          </w:tcPr>
          <w:p w14:paraId="6D512070" w14:textId="77777777" w:rsidR="00744142" w:rsidRPr="00744142" w:rsidRDefault="00744142" w:rsidP="00744142">
            <w:pPr>
              <w:spacing w:after="0" w:line="240" w:lineRule="auto"/>
              <w:contextualSpacing/>
              <w:mirrorIndents/>
              <w:rPr>
                <w:rFonts w:ascii="Times New Roman" w:eastAsia="Times New Roman" w:hAnsi="Times New Roman" w:cs="Times New Roman"/>
                <w:b/>
                <w:bCs/>
                <w:lang w:val="uk-UA" w:eastAsia="uk-UA"/>
              </w:rPr>
            </w:pPr>
            <w:r w:rsidRPr="00744142">
              <w:rPr>
                <w:rFonts w:ascii="Times New Roman" w:eastAsia="Times New Roman" w:hAnsi="Times New Roman" w:cs="Times New Roman"/>
                <w:b/>
                <w:bCs/>
                <w:lang w:val="uk-UA" w:eastAsia="uk-UA"/>
              </w:rPr>
              <w:t>Постачальник:</w:t>
            </w:r>
          </w:p>
        </w:tc>
        <w:tc>
          <w:tcPr>
            <w:tcW w:w="237" w:type="dxa"/>
          </w:tcPr>
          <w:p w14:paraId="5C564958" w14:textId="77777777" w:rsidR="00744142" w:rsidRPr="00744142" w:rsidRDefault="00744142" w:rsidP="00744142">
            <w:pPr>
              <w:spacing w:after="0" w:line="240" w:lineRule="auto"/>
              <w:contextualSpacing/>
              <w:mirrorIndents/>
              <w:jc w:val="center"/>
              <w:rPr>
                <w:rFonts w:ascii="Times New Roman" w:eastAsia="Times New Roman" w:hAnsi="Times New Roman" w:cs="Times New Roman"/>
                <w:b/>
                <w:bCs/>
                <w:lang w:val="uk-UA" w:eastAsia="uk-UA"/>
              </w:rPr>
            </w:pPr>
          </w:p>
        </w:tc>
        <w:tc>
          <w:tcPr>
            <w:tcW w:w="5039" w:type="dxa"/>
          </w:tcPr>
          <w:p w14:paraId="75489B18" w14:textId="77777777" w:rsidR="00744142" w:rsidRPr="00744142" w:rsidRDefault="00744142" w:rsidP="00744142">
            <w:pPr>
              <w:spacing w:after="0" w:line="240" w:lineRule="auto"/>
              <w:contextualSpacing/>
              <w:mirrorIndents/>
              <w:rPr>
                <w:rFonts w:ascii="Times New Roman" w:eastAsia="Times New Roman" w:hAnsi="Times New Roman" w:cs="Times New Roman"/>
                <w:b/>
                <w:bCs/>
                <w:lang w:val="uk-UA" w:eastAsia="uk-UA"/>
              </w:rPr>
            </w:pPr>
          </w:p>
        </w:tc>
      </w:tr>
      <w:tr w:rsidR="00744142" w:rsidRPr="00744142" w14:paraId="235542BC" w14:textId="77777777" w:rsidTr="00313EB9">
        <w:trPr>
          <w:cantSplit/>
          <w:trHeight w:val="281"/>
        </w:trPr>
        <w:tc>
          <w:tcPr>
            <w:tcW w:w="5102" w:type="dxa"/>
          </w:tcPr>
          <w:p w14:paraId="39C8569F" w14:textId="77777777" w:rsidR="00744142" w:rsidRPr="00744142" w:rsidRDefault="00744142" w:rsidP="00744142">
            <w:pPr>
              <w:spacing w:after="0" w:line="240" w:lineRule="auto"/>
              <w:contextualSpacing/>
              <w:mirrorIndents/>
              <w:rPr>
                <w:rFonts w:ascii="Times New Roman" w:eastAsia="Times New Roman" w:hAnsi="Times New Roman" w:cs="Times New Roman"/>
                <w:b/>
                <w:lang w:val="uk-UA" w:eastAsia="uk-UA"/>
              </w:rPr>
            </w:pPr>
            <w:r w:rsidRPr="00744142">
              <w:rPr>
                <w:rFonts w:ascii="Times New Roman" w:eastAsia="Times New Roman" w:hAnsi="Times New Roman" w:cs="Times New Roman"/>
                <w:b/>
                <w:lang w:val="uk-UA" w:eastAsia="uk-UA"/>
              </w:rPr>
              <w:t>ТОВ «ЕНЕРА ВІННИЦЯ»</w:t>
            </w:r>
          </w:p>
          <w:p w14:paraId="55AFDEB6" w14:textId="77777777" w:rsidR="00744142" w:rsidRPr="00744142" w:rsidRDefault="00744142" w:rsidP="00744142">
            <w:pPr>
              <w:spacing w:after="0" w:line="240" w:lineRule="auto"/>
              <w:contextualSpacing/>
              <w:mirrorIndents/>
              <w:rPr>
                <w:rFonts w:ascii="Times New Roman" w:eastAsia="Times New Roman" w:hAnsi="Times New Roman" w:cs="Times New Roman"/>
                <w:b/>
                <w:lang w:val="uk-UA" w:eastAsia="uk-UA"/>
              </w:rPr>
            </w:pPr>
          </w:p>
        </w:tc>
        <w:tc>
          <w:tcPr>
            <w:tcW w:w="237" w:type="dxa"/>
          </w:tcPr>
          <w:p w14:paraId="56FFDADC" w14:textId="77777777" w:rsidR="00744142" w:rsidRPr="00744142" w:rsidRDefault="00744142" w:rsidP="00744142">
            <w:pPr>
              <w:spacing w:after="0" w:line="240" w:lineRule="auto"/>
              <w:contextualSpacing/>
              <w:mirrorIndents/>
              <w:rPr>
                <w:rFonts w:ascii="Times New Roman" w:eastAsia="Times New Roman" w:hAnsi="Times New Roman" w:cs="Times New Roman"/>
                <w:b/>
                <w:lang w:val="uk-UA" w:eastAsia="uk-UA"/>
              </w:rPr>
            </w:pPr>
          </w:p>
        </w:tc>
        <w:tc>
          <w:tcPr>
            <w:tcW w:w="5039" w:type="dxa"/>
          </w:tcPr>
          <w:p w14:paraId="307C1598" w14:textId="77777777" w:rsidR="00744142" w:rsidRPr="00744142" w:rsidRDefault="00744142" w:rsidP="00744142">
            <w:pPr>
              <w:spacing w:after="0" w:line="240" w:lineRule="auto"/>
              <w:contextualSpacing/>
              <w:mirrorIndents/>
              <w:rPr>
                <w:rFonts w:ascii="Times New Roman" w:eastAsia="Times New Roman" w:hAnsi="Times New Roman" w:cs="Times New Roman"/>
                <w:b/>
                <w:lang w:val="uk-UA" w:eastAsia="uk-UA"/>
              </w:rPr>
            </w:pPr>
          </w:p>
        </w:tc>
      </w:tr>
    </w:tbl>
    <w:p w14:paraId="18EDE9F6" w14:textId="77777777" w:rsidR="001F25DC" w:rsidRDefault="001F25DC" w:rsidP="00744142">
      <w:pPr>
        <w:spacing w:after="0"/>
      </w:pPr>
    </w:p>
    <w:sectPr w:rsidR="001F25DC" w:rsidSect="00744142">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84FE4" w14:textId="77777777" w:rsidR="002F4BE4" w:rsidRDefault="002F4BE4" w:rsidP="00744142">
      <w:pPr>
        <w:spacing w:after="0" w:line="240" w:lineRule="auto"/>
      </w:pPr>
      <w:r>
        <w:separator/>
      </w:r>
    </w:p>
  </w:endnote>
  <w:endnote w:type="continuationSeparator" w:id="0">
    <w:p w14:paraId="2706F43A" w14:textId="77777777" w:rsidR="002F4BE4" w:rsidRDefault="002F4BE4" w:rsidP="0074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344AC" w14:textId="77777777" w:rsidR="002F4BE4" w:rsidRDefault="002F4BE4" w:rsidP="00744142">
      <w:pPr>
        <w:spacing w:after="0" w:line="240" w:lineRule="auto"/>
      </w:pPr>
      <w:r>
        <w:separator/>
      </w:r>
    </w:p>
  </w:footnote>
  <w:footnote w:type="continuationSeparator" w:id="0">
    <w:p w14:paraId="0AB18BC7" w14:textId="77777777" w:rsidR="002F4BE4" w:rsidRDefault="002F4BE4" w:rsidP="00744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9B"/>
    <w:rsid w:val="000B4560"/>
    <w:rsid w:val="00181459"/>
    <w:rsid w:val="00194973"/>
    <w:rsid w:val="001B466C"/>
    <w:rsid w:val="001C6CD9"/>
    <w:rsid w:val="001F25DC"/>
    <w:rsid w:val="001F53BA"/>
    <w:rsid w:val="00210A30"/>
    <w:rsid w:val="00261205"/>
    <w:rsid w:val="002C0E09"/>
    <w:rsid w:val="002C2E68"/>
    <w:rsid w:val="002D06A6"/>
    <w:rsid w:val="002D309B"/>
    <w:rsid w:val="002E1357"/>
    <w:rsid w:val="002F4BE4"/>
    <w:rsid w:val="004268B3"/>
    <w:rsid w:val="004555B2"/>
    <w:rsid w:val="004D4BDB"/>
    <w:rsid w:val="004D73F8"/>
    <w:rsid w:val="006056C8"/>
    <w:rsid w:val="00665520"/>
    <w:rsid w:val="006722BD"/>
    <w:rsid w:val="006E2141"/>
    <w:rsid w:val="00744142"/>
    <w:rsid w:val="007A5B9F"/>
    <w:rsid w:val="00803850"/>
    <w:rsid w:val="00852A88"/>
    <w:rsid w:val="00870556"/>
    <w:rsid w:val="008A41CE"/>
    <w:rsid w:val="008A503F"/>
    <w:rsid w:val="008D1945"/>
    <w:rsid w:val="00911593"/>
    <w:rsid w:val="00913039"/>
    <w:rsid w:val="009226C6"/>
    <w:rsid w:val="00957CE2"/>
    <w:rsid w:val="009B10D7"/>
    <w:rsid w:val="00A852AC"/>
    <w:rsid w:val="00AC27F5"/>
    <w:rsid w:val="00B54DAE"/>
    <w:rsid w:val="00C344B9"/>
    <w:rsid w:val="00C43296"/>
    <w:rsid w:val="00C47753"/>
    <w:rsid w:val="00CA17A4"/>
    <w:rsid w:val="00D149DD"/>
    <w:rsid w:val="00D337B9"/>
    <w:rsid w:val="00D81170"/>
    <w:rsid w:val="00D864E9"/>
    <w:rsid w:val="00E014FA"/>
    <w:rsid w:val="00E201F1"/>
    <w:rsid w:val="00E82527"/>
    <w:rsid w:val="00F14DBE"/>
    <w:rsid w:val="00F20BED"/>
    <w:rsid w:val="00F806CD"/>
    <w:rsid w:val="00FF4020"/>
    <w:rsid w:val="00FF6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3B91"/>
  <w15:docId w15:val="{B0CA7737-8EBE-4BD6-9932-C6B253F9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3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n.enera.u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Колодій Тетяна Валентинівна</dc:creator>
  <cp:lastModifiedBy>Колодій Тетяна Валентинівна</cp:lastModifiedBy>
  <cp:revision>26</cp:revision>
  <dcterms:created xsi:type="dcterms:W3CDTF">2022-12-26T07:06:00Z</dcterms:created>
  <dcterms:modified xsi:type="dcterms:W3CDTF">2025-01-09T10:59:00Z</dcterms:modified>
</cp:coreProperties>
</file>