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21E5" w14:textId="77777777" w:rsidR="00986A9C" w:rsidRPr="00FC73E6" w:rsidRDefault="00986A9C" w:rsidP="005D3887">
      <w:pPr>
        <w:tabs>
          <w:tab w:val="left" w:pos="1695"/>
        </w:tabs>
        <w:jc w:val="right"/>
        <w:rPr>
          <w:sz w:val="22"/>
          <w:szCs w:val="22"/>
        </w:rPr>
      </w:pPr>
      <w:r w:rsidRPr="00FC73E6">
        <w:rPr>
          <w:sz w:val="22"/>
          <w:szCs w:val="22"/>
        </w:rPr>
        <w:t xml:space="preserve">Додаток № </w:t>
      </w:r>
      <w:r w:rsidR="005A0337" w:rsidRPr="00FC73E6">
        <w:rPr>
          <w:sz w:val="22"/>
          <w:szCs w:val="22"/>
        </w:rPr>
        <w:t>3</w:t>
      </w:r>
      <w:r w:rsidR="005D3887" w:rsidRPr="00FC73E6">
        <w:rPr>
          <w:sz w:val="22"/>
          <w:szCs w:val="22"/>
        </w:rPr>
        <w:tab/>
      </w:r>
      <w:r w:rsidR="005D3887" w:rsidRPr="00FC73E6">
        <w:rPr>
          <w:sz w:val="22"/>
          <w:szCs w:val="22"/>
        </w:rPr>
        <w:tab/>
      </w:r>
      <w:r w:rsidR="005D3887" w:rsidRPr="00FC73E6">
        <w:rPr>
          <w:sz w:val="22"/>
          <w:szCs w:val="22"/>
        </w:rPr>
        <w:tab/>
      </w:r>
      <w:r w:rsidR="005D3887" w:rsidRPr="00FC73E6">
        <w:rPr>
          <w:sz w:val="22"/>
          <w:szCs w:val="22"/>
        </w:rPr>
        <w:tab/>
      </w:r>
      <w:r w:rsidR="005D3887" w:rsidRPr="00FC73E6">
        <w:rPr>
          <w:sz w:val="22"/>
          <w:szCs w:val="22"/>
        </w:rPr>
        <w:tab/>
      </w:r>
    </w:p>
    <w:p w14:paraId="5D8633B8" w14:textId="77777777" w:rsidR="00986A9C" w:rsidRPr="00FC73E6" w:rsidRDefault="00986A9C" w:rsidP="005D3887">
      <w:pPr>
        <w:tabs>
          <w:tab w:val="left" w:pos="1695"/>
        </w:tabs>
        <w:jc w:val="right"/>
        <w:rPr>
          <w:sz w:val="22"/>
          <w:szCs w:val="22"/>
        </w:rPr>
      </w:pPr>
      <w:r w:rsidRPr="00FC73E6">
        <w:rPr>
          <w:sz w:val="22"/>
          <w:szCs w:val="22"/>
        </w:rPr>
        <w:t>до договору про постачання електричної</w:t>
      </w:r>
      <w:r w:rsidR="005D3887" w:rsidRPr="00FC73E6">
        <w:rPr>
          <w:sz w:val="22"/>
          <w:szCs w:val="22"/>
        </w:rPr>
        <w:tab/>
      </w:r>
    </w:p>
    <w:p w14:paraId="007AF87B" w14:textId="77777777" w:rsidR="00986A9C" w:rsidRPr="00FC73E6" w:rsidRDefault="00986A9C" w:rsidP="005D3887">
      <w:pPr>
        <w:tabs>
          <w:tab w:val="left" w:pos="1695"/>
        </w:tabs>
        <w:jc w:val="right"/>
        <w:rPr>
          <w:sz w:val="22"/>
          <w:szCs w:val="22"/>
        </w:rPr>
      </w:pPr>
      <w:r w:rsidRPr="00FC73E6">
        <w:rPr>
          <w:sz w:val="22"/>
          <w:szCs w:val="22"/>
        </w:rPr>
        <w:t>енергії постачальником</w:t>
      </w:r>
      <w:r w:rsidR="003737A6" w:rsidRPr="00FC73E6">
        <w:rPr>
          <w:sz w:val="22"/>
          <w:szCs w:val="22"/>
        </w:rPr>
        <w:t xml:space="preserve"> </w:t>
      </w:r>
      <w:r w:rsidRPr="00FC73E6">
        <w:rPr>
          <w:sz w:val="22"/>
          <w:szCs w:val="22"/>
        </w:rPr>
        <w:t>універсальних послуг</w:t>
      </w:r>
    </w:p>
    <w:p w14:paraId="089B49F9" w14:textId="77777777" w:rsidR="00213552" w:rsidRPr="00FC73E6" w:rsidRDefault="00213552" w:rsidP="005D3887">
      <w:pPr>
        <w:tabs>
          <w:tab w:val="left" w:pos="1695"/>
        </w:tabs>
        <w:jc w:val="right"/>
        <w:rPr>
          <w:sz w:val="22"/>
          <w:szCs w:val="22"/>
        </w:rPr>
      </w:pPr>
    </w:p>
    <w:p w14:paraId="48718D48" w14:textId="77777777" w:rsidR="00986A9C" w:rsidRPr="00FC73E6" w:rsidRDefault="00986A9C" w:rsidP="00986A9C">
      <w:pPr>
        <w:tabs>
          <w:tab w:val="left" w:pos="1695"/>
        </w:tabs>
        <w:rPr>
          <w:sz w:val="22"/>
          <w:szCs w:val="22"/>
        </w:rPr>
      </w:pPr>
    </w:p>
    <w:p w14:paraId="4745CE7F" w14:textId="77777777" w:rsidR="00986A9C" w:rsidRPr="00FC73E6" w:rsidRDefault="00FC57D3" w:rsidP="00986A9C">
      <w:pPr>
        <w:tabs>
          <w:tab w:val="left" w:pos="1695"/>
        </w:tabs>
        <w:jc w:val="center"/>
        <w:rPr>
          <w:b/>
          <w:sz w:val="22"/>
          <w:szCs w:val="22"/>
        </w:rPr>
      </w:pPr>
      <w:r w:rsidRPr="00FC73E6">
        <w:rPr>
          <w:b/>
          <w:sz w:val="22"/>
          <w:szCs w:val="22"/>
        </w:rPr>
        <w:t>КОМЕРЦІЙНА ПРОПОЗИЦІЯ</w:t>
      </w:r>
      <w:r w:rsidR="005E5731" w:rsidRPr="00FC73E6">
        <w:rPr>
          <w:b/>
          <w:sz w:val="22"/>
          <w:szCs w:val="22"/>
        </w:rPr>
        <w:t xml:space="preserve"> № 3</w:t>
      </w:r>
    </w:p>
    <w:p w14:paraId="5C0FBD4B" w14:textId="77777777" w:rsidR="005D37BC" w:rsidRPr="00FC73E6" w:rsidRDefault="005D37BC" w:rsidP="005D37BC">
      <w:pPr>
        <w:tabs>
          <w:tab w:val="left" w:pos="1695"/>
        </w:tabs>
        <w:jc w:val="center"/>
        <w:rPr>
          <w:b/>
          <w:sz w:val="22"/>
          <w:szCs w:val="22"/>
        </w:rPr>
      </w:pPr>
      <w:r w:rsidRPr="00FC73E6">
        <w:rPr>
          <w:b/>
          <w:sz w:val="22"/>
          <w:szCs w:val="22"/>
        </w:rPr>
        <w:t>(розповсюджується на підприємства, установи та організації, що фінансуються з місцевих та державного бюджету)</w:t>
      </w:r>
    </w:p>
    <w:p w14:paraId="62DDDA4F" w14:textId="77777777" w:rsidR="00986A9C" w:rsidRPr="00FC73E6" w:rsidRDefault="00986A9C" w:rsidP="00363506">
      <w:pPr>
        <w:tabs>
          <w:tab w:val="left" w:pos="1695"/>
        </w:tabs>
        <w:jc w:val="both"/>
        <w:rPr>
          <w:sz w:val="22"/>
          <w:szCs w:val="22"/>
        </w:rPr>
      </w:pPr>
    </w:p>
    <w:p w14:paraId="740CF066" w14:textId="77777777" w:rsidR="00986A9C" w:rsidRPr="00FC73E6" w:rsidRDefault="00986A9C" w:rsidP="00363506">
      <w:pPr>
        <w:tabs>
          <w:tab w:val="left" w:pos="1695"/>
        </w:tabs>
        <w:jc w:val="both"/>
        <w:rPr>
          <w:sz w:val="22"/>
          <w:szCs w:val="22"/>
        </w:rPr>
      </w:pPr>
      <w:r w:rsidRPr="00FC73E6">
        <w:rPr>
          <w:b/>
          <w:color w:val="000000"/>
          <w:sz w:val="22"/>
          <w:szCs w:val="22"/>
          <w:u w:val="single"/>
        </w:rPr>
        <w:t>ТОВАРИСТВ</w:t>
      </w:r>
      <w:r w:rsidR="00134AE7" w:rsidRPr="00FC73E6">
        <w:rPr>
          <w:b/>
          <w:color w:val="000000"/>
          <w:sz w:val="22"/>
          <w:szCs w:val="22"/>
          <w:u w:val="single"/>
        </w:rPr>
        <w:t xml:space="preserve">О З ОБМЕЖЕНОЮ ВІДПОВІДАЛЬНІСТЮ </w:t>
      </w:r>
      <w:r w:rsidR="005D3887" w:rsidRPr="00FC73E6">
        <w:rPr>
          <w:b/>
          <w:color w:val="000000"/>
          <w:sz w:val="22"/>
          <w:szCs w:val="22"/>
          <w:u w:val="single"/>
        </w:rPr>
        <w:t>«</w:t>
      </w:r>
      <w:r w:rsidR="00134AE7" w:rsidRPr="00FC73E6">
        <w:rPr>
          <w:b/>
          <w:color w:val="000000"/>
          <w:sz w:val="22"/>
          <w:szCs w:val="22"/>
          <w:u w:val="single"/>
        </w:rPr>
        <w:t xml:space="preserve">ЕНЕРА </w:t>
      </w:r>
      <w:r w:rsidR="005D3887" w:rsidRPr="00FC73E6">
        <w:rPr>
          <w:b/>
          <w:color w:val="000000"/>
          <w:sz w:val="22"/>
          <w:szCs w:val="22"/>
          <w:u w:val="single"/>
        </w:rPr>
        <w:t>ВІННИЦЯ»</w:t>
      </w:r>
      <w:r w:rsidRPr="00FC73E6">
        <w:rPr>
          <w:color w:val="000000"/>
          <w:sz w:val="22"/>
          <w:szCs w:val="22"/>
          <w:u w:val="single"/>
        </w:rPr>
        <w:t xml:space="preserve">, </w:t>
      </w:r>
      <w:r w:rsidRPr="00FC73E6">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w:t>
      </w:r>
      <w:r w:rsidR="005D3887" w:rsidRPr="00FC73E6">
        <w:rPr>
          <w:color w:val="000000"/>
          <w:sz w:val="22"/>
          <w:szCs w:val="22"/>
        </w:rPr>
        <w:t xml:space="preserve"> </w:t>
      </w:r>
      <w:r w:rsidRPr="00FC73E6">
        <w:rPr>
          <w:color w:val="000000"/>
          <w:sz w:val="22"/>
          <w:szCs w:val="22"/>
        </w:rPr>
        <w:t>429, пропонує розглянути наступну комерційну пропозицію.</w:t>
      </w:r>
    </w:p>
    <w:p w14:paraId="2F6F61E1" w14:textId="77777777" w:rsidR="00986A9C" w:rsidRPr="00FC73E6" w:rsidRDefault="00986A9C" w:rsidP="00986A9C">
      <w:pPr>
        <w:tabs>
          <w:tab w:val="left" w:pos="1695"/>
        </w:tabs>
        <w:rPr>
          <w:sz w:val="22"/>
          <w:szCs w:val="22"/>
        </w:rPr>
      </w:pPr>
    </w:p>
    <w:p w14:paraId="5F0AD312" w14:textId="77777777" w:rsidR="00986A9C" w:rsidRPr="00FC73E6" w:rsidRDefault="00986A9C" w:rsidP="00986A9C">
      <w:pPr>
        <w:tabs>
          <w:tab w:val="left" w:pos="1695"/>
        </w:tabs>
        <w:rPr>
          <w:sz w:val="22"/>
          <w:szCs w:val="22"/>
        </w:rPr>
      </w:pPr>
      <w:r w:rsidRPr="00FC73E6">
        <w:rPr>
          <w:b/>
          <w:sz w:val="22"/>
          <w:szCs w:val="22"/>
          <w:u w:val="single"/>
        </w:rPr>
        <w:t>Предмет комерційної пропозиції</w:t>
      </w:r>
      <w:r w:rsidRPr="00FC73E6">
        <w:rPr>
          <w:sz w:val="22"/>
          <w:szCs w:val="22"/>
        </w:rPr>
        <w:t>: Постачання електричної енергії як товарної продукції.</w:t>
      </w:r>
    </w:p>
    <w:p w14:paraId="3D504DAE" w14:textId="77777777" w:rsidR="00986A9C" w:rsidRPr="00FC73E6" w:rsidRDefault="00986A9C" w:rsidP="00986A9C">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6529"/>
      </w:tblGrid>
      <w:tr w:rsidR="00986A9C" w:rsidRPr="00FC73E6" w14:paraId="1B76FBAB" w14:textId="77777777" w:rsidTr="005D3887">
        <w:tc>
          <w:tcPr>
            <w:tcW w:w="3147" w:type="dxa"/>
            <w:shd w:val="clear" w:color="auto" w:fill="auto"/>
          </w:tcPr>
          <w:p w14:paraId="4CC0D484" w14:textId="77777777" w:rsidR="00986A9C" w:rsidRPr="00FC73E6" w:rsidRDefault="00986A9C" w:rsidP="00B8614E">
            <w:pPr>
              <w:pStyle w:val="HTML"/>
              <w:jc w:val="both"/>
              <w:rPr>
                <w:rFonts w:ascii="Times New Roman" w:eastAsia="Calibri" w:hAnsi="Times New Roman" w:cs="Times New Roman"/>
                <w:b/>
                <w:sz w:val="22"/>
                <w:szCs w:val="22"/>
                <w:lang w:val="uk-UA"/>
              </w:rPr>
            </w:pPr>
            <w:r w:rsidRPr="00FC73E6">
              <w:rPr>
                <w:rFonts w:ascii="Times New Roman" w:eastAsia="Calibri" w:hAnsi="Times New Roman" w:cs="Times New Roman"/>
                <w:b/>
                <w:sz w:val="22"/>
                <w:szCs w:val="22"/>
                <w:lang w:val="uk-UA"/>
              </w:rPr>
              <w:t>Умова</w:t>
            </w:r>
          </w:p>
        </w:tc>
        <w:tc>
          <w:tcPr>
            <w:tcW w:w="6634" w:type="dxa"/>
            <w:shd w:val="clear" w:color="auto" w:fill="auto"/>
          </w:tcPr>
          <w:p w14:paraId="1CA5B0A9" w14:textId="77777777" w:rsidR="00986A9C" w:rsidRPr="00FC73E6" w:rsidRDefault="00986A9C" w:rsidP="00B8614E">
            <w:pPr>
              <w:pStyle w:val="HTML"/>
              <w:jc w:val="both"/>
              <w:rPr>
                <w:rFonts w:ascii="Times New Roman" w:eastAsia="Calibri" w:hAnsi="Times New Roman" w:cs="Times New Roman"/>
                <w:b/>
                <w:sz w:val="22"/>
                <w:szCs w:val="22"/>
                <w:lang w:val="uk-UA"/>
              </w:rPr>
            </w:pPr>
            <w:r w:rsidRPr="00FC73E6">
              <w:rPr>
                <w:rFonts w:ascii="Times New Roman" w:eastAsia="Calibri" w:hAnsi="Times New Roman" w:cs="Times New Roman"/>
                <w:b/>
                <w:sz w:val="22"/>
                <w:szCs w:val="22"/>
                <w:lang w:val="uk-UA"/>
              </w:rPr>
              <w:t>Пропозиція</w:t>
            </w:r>
          </w:p>
        </w:tc>
      </w:tr>
      <w:tr w:rsidR="00986A9C" w:rsidRPr="00FC73E6" w14:paraId="113F52F0" w14:textId="77777777" w:rsidTr="005D3887">
        <w:tc>
          <w:tcPr>
            <w:tcW w:w="3147" w:type="dxa"/>
            <w:shd w:val="clear" w:color="auto" w:fill="auto"/>
          </w:tcPr>
          <w:p w14:paraId="3EA19268" w14:textId="77777777" w:rsidR="00986A9C" w:rsidRPr="00FC73E6" w:rsidRDefault="00986A9C" w:rsidP="003037F1">
            <w:pPr>
              <w:rPr>
                <w:b/>
                <w:bCs/>
                <w:sz w:val="22"/>
                <w:szCs w:val="22"/>
                <w:lang w:eastAsia="en-US"/>
              </w:rPr>
            </w:pPr>
            <w:r w:rsidRPr="00FC73E6">
              <w:rPr>
                <w:b/>
                <w:bCs/>
                <w:sz w:val="22"/>
                <w:szCs w:val="22"/>
              </w:rPr>
              <w:t>Критерії, яким має відповідати особа, що обирає дану комерційну пропозицію</w:t>
            </w:r>
          </w:p>
        </w:tc>
        <w:tc>
          <w:tcPr>
            <w:tcW w:w="6634" w:type="dxa"/>
            <w:shd w:val="clear" w:color="auto" w:fill="auto"/>
          </w:tcPr>
          <w:p w14:paraId="577A7DF7" w14:textId="77777777" w:rsidR="00986A9C" w:rsidRPr="00FC73E6" w:rsidRDefault="003E76FD" w:rsidP="007B5A54">
            <w:pPr>
              <w:pStyle w:val="a4"/>
              <w:ind w:left="0"/>
              <w:jc w:val="both"/>
              <w:rPr>
                <w:sz w:val="22"/>
                <w:szCs w:val="22"/>
              </w:rPr>
            </w:pPr>
            <w:r w:rsidRPr="00FC73E6">
              <w:rPr>
                <w:sz w:val="22"/>
                <w:szCs w:val="22"/>
              </w:rPr>
              <w:t xml:space="preserve">підприємства, установи та організації, що фінансуються з місцевих та державного бюджету, </w:t>
            </w:r>
            <w:r w:rsidRPr="00FC73E6">
              <w:rPr>
                <w:rStyle w:val="rvts0"/>
                <w:sz w:val="22"/>
                <w:szCs w:val="22"/>
              </w:rPr>
              <w:t>електроустановки якого приєднані до електричних мереж з договірною потужністю до 50 кВт</w:t>
            </w:r>
          </w:p>
        </w:tc>
      </w:tr>
      <w:tr w:rsidR="0050241B" w:rsidRPr="00FC73E6" w14:paraId="032F7981" w14:textId="77777777" w:rsidTr="005D3887">
        <w:trPr>
          <w:trHeight w:val="6876"/>
        </w:trPr>
        <w:tc>
          <w:tcPr>
            <w:tcW w:w="3147" w:type="dxa"/>
            <w:shd w:val="clear" w:color="auto" w:fill="auto"/>
          </w:tcPr>
          <w:p w14:paraId="455D6B5F" w14:textId="77777777" w:rsidR="0050241B" w:rsidRPr="00FC73E6" w:rsidRDefault="00603B5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634" w:type="dxa"/>
            <w:shd w:val="clear" w:color="auto" w:fill="auto"/>
          </w:tcPr>
          <w:p w14:paraId="2BECFF78" w14:textId="77777777" w:rsidR="0050241B" w:rsidRPr="00FC73E6" w:rsidRDefault="0050241B" w:rsidP="0050241B">
            <w:pPr>
              <w:jc w:val="both"/>
              <w:rPr>
                <w:sz w:val="22"/>
                <w:szCs w:val="22"/>
              </w:rPr>
            </w:pPr>
            <w:r w:rsidRPr="00FC73E6">
              <w:rPr>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C508D74" w14:textId="1C9BEB54" w:rsidR="004D077D" w:rsidRPr="00EB5F5B" w:rsidRDefault="004D077D" w:rsidP="004D077D">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грудень</w:t>
            </w:r>
            <w:r w:rsidRPr="00EB5F5B">
              <w:rPr>
                <w:b/>
                <w:sz w:val="22"/>
                <w:szCs w:val="22"/>
              </w:rPr>
              <w:t xml:space="preserve"> 2025 року становить: </w:t>
            </w:r>
          </w:p>
          <w:p w14:paraId="394F98F2" w14:textId="77777777" w:rsidR="004D077D" w:rsidRPr="00B31605" w:rsidRDefault="004D077D" w:rsidP="004D077D">
            <w:pPr>
              <w:ind w:firstLine="6"/>
              <w:contextualSpacing/>
              <w:jc w:val="both"/>
              <w:textAlignment w:val="baseline"/>
              <w:rPr>
                <w:b/>
                <w:sz w:val="22"/>
                <w:szCs w:val="22"/>
              </w:rPr>
            </w:pPr>
            <w:r w:rsidRPr="00B31605">
              <w:rPr>
                <w:b/>
                <w:sz w:val="22"/>
                <w:szCs w:val="22"/>
              </w:rPr>
              <w:t xml:space="preserve">І клас – </w:t>
            </w:r>
            <w:r w:rsidRPr="002824AF">
              <w:rPr>
                <w:b/>
                <w:sz w:val="22"/>
                <w:szCs w:val="22"/>
              </w:rPr>
              <w:t>6</w:t>
            </w:r>
            <w:r>
              <w:rPr>
                <w:b/>
                <w:sz w:val="22"/>
                <w:szCs w:val="22"/>
              </w:rPr>
              <w:t>,</w:t>
            </w:r>
            <w:r w:rsidRPr="002824AF">
              <w:rPr>
                <w:b/>
                <w:sz w:val="22"/>
                <w:szCs w:val="22"/>
              </w:rPr>
              <w:t>41339</w:t>
            </w:r>
            <w:r>
              <w:rPr>
                <w:b/>
                <w:sz w:val="22"/>
                <w:szCs w:val="22"/>
              </w:rPr>
              <w:t xml:space="preserve"> </w:t>
            </w:r>
            <w:r w:rsidRPr="00B31605">
              <w:rPr>
                <w:b/>
                <w:sz w:val="22"/>
                <w:szCs w:val="22"/>
              </w:rPr>
              <w:t>грн/кВт·год (без ПДВ);</w:t>
            </w:r>
          </w:p>
          <w:p w14:paraId="3DAB54DB" w14:textId="77777777" w:rsidR="004D077D" w:rsidRPr="00B31605" w:rsidRDefault="004D077D" w:rsidP="004D077D">
            <w:pPr>
              <w:ind w:firstLine="6"/>
              <w:contextualSpacing/>
              <w:jc w:val="both"/>
              <w:textAlignment w:val="baseline"/>
              <w:rPr>
                <w:b/>
                <w:sz w:val="22"/>
                <w:szCs w:val="22"/>
              </w:rPr>
            </w:pPr>
            <w:r w:rsidRPr="00B31605">
              <w:rPr>
                <w:b/>
                <w:sz w:val="22"/>
                <w:szCs w:val="22"/>
              </w:rPr>
              <w:t xml:space="preserve">ІІ клас – </w:t>
            </w:r>
            <w:r w:rsidRPr="002824AF">
              <w:rPr>
                <w:b/>
                <w:sz w:val="22"/>
                <w:szCs w:val="22"/>
              </w:rPr>
              <w:t>8</w:t>
            </w:r>
            <w:r>
              <w:rPr>
                <w:b/>
                <w:sz w:val="22"/>
                <w:szCs w:val="22"/>
              </w:rPr>
              <w:t>,</w:t>
            </w:r>
            <w:r w:rsidRPr="002824AF">
              <w:rPr>
                <w:b/>
                <w:sz w:val="22"/>
                <w:szCs w:val="22"/>
              </w:rPr>
              <w:t>66666</w:t>
            </w:r>
            <w:r>
              <w:rPr>
                <w:b/>
                <w:sz w:val="22"/>
                <w:szCs w:val="22"/>
              </w:rPr>
              <w:t xml:space="preserve"> </w:t>
            </w:r>
            <w:r w:rsidRPr="00B31605">
              <w:rPr>
                <w:b/>
                <w:sz w:val="22"/>
                <w:szCs w:val="22"/>
              </w:rPr>
              <w:t xml:space="preserve">грн/кВт·год (без ПДВ). </w:t>
            </w:r>
          </w:p>
          <w:p w14:paraId="70E32056" w14:textId="77777777" w:rsidR="004D077D" w:rsidRDefault="004D077D" w:rsidP="004D077D">
            <w:pPr>
              <w:ind w:firstLine="6"/>
              <w:contextualSpacing/>
              <w:jc w:val="both"/>
              <w:textAlignment w:val="baseline"/>
              <w:rPr>
                <w:b/>
                <w:sz w:val="22"/>
                <w:szCs w:val="22"/>
              </w:rPr>
            </w:pPr>
          </w:p>
          <w:p w14:paraId="545C67B8" w14:textId="1FD1BF87" w:rsidR="004D077D" w:rsidRDefault="004D077D" w:rsidP="004D077D">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грудень</w:t>
            </w:r>
            <w:r w:rsidRPr="00EB5F5B">
              <w:rPr>
                <w:b/>
                <w:sz w:val="22"/>
                <w:szCs w:val="22"/>
              </w:rPr>
              <w:t xml:space="preserve"> </w:t>
            </w:r>
            <w:r>
              <w:rPr>
                <w:b/>
                <w:sz w:val="22"/>
                <w:szCs w:val="22"/>
              </w:rPr>
              <w:br/>
            </w:r>
            <w:r w:rsidRPr="00EB5F5B">
              <w:rPr>
                <w:b/>
                <w:sz w:val="22"/>
                <w:szCs w:val="22"/>
              </w:rPr>
              <w:t>2025 року становить:</w:t>
            </w:r>
          </w:p>
          <w:p w14:paraId="7803EE02" w14:textId="77777777" w:rsidR="004D077D" w:rsidRPr="00B31605" w:rsidRDefault="004D077D" w:rsidP="004D077D">
            <w:pPr>
              <w:ind w:firstLine="6"/>
              <w:contextualSpacing/>
              <w:jc w:val="both"/>
              <w:textAlignment w:val="baseline"/>
              <w:rPr>
                <w:b/>
                <w:sz w:val="22"/>
                <w:szCs w:val="22"/>
              </w:rPr>
            </w:pPr>
            <w:r w:rsidRPr="00B31605">
              <w:rPr>
                <w:b/>
                <w:sz w:val="22"/>
                <w:szCs w:val="22"/>
              </w:rPr>
              <w:t xml:space="preserve">І клас – </w:t>
            </w:r>
            <w:r w:rsidRPr="002824AF">
              <w:rPr>
                <w:b/>
                <w:sz w:val="22"/>
                <w:szCs w:val="22"/>
              </w:rPr>
              <w:t>6</w:t>
            </w:r>
            <w:r>
              <w:rPr>
                <w:b/>
                <w:sz w:val="22"/>
                <w:szCs w:val="22"/>
              </w:rPr>
              <w:t>,</w:t>
            </w:r>
            <w:r w:rsidRPr="002824AF">
              <w:rPr>
                <w:b/>
                <w:sz w:val="22"/>
                <w:szCs w:val="22"/>
              </w:rPr>
              <w:t>42153</w:t>
            </w:r>
            <w:r>
              <w:rPr>
                <w:b/>
                <w:sz w:val="22"/>
                <w:szCs w:val="22"/>
              </w:rPr>
              <w:t xml:space="preserve"> </w:t>
            </w:r>
            <w:r w:rsidRPr="00B31605">
              <w:rPr>
                <w:b/>
                <w:sz w:val="22"/>
                <w:szCs w:val="22"/>
              </w:rPr>
              <w:t xml:space="preserve">грн/кВт·год (без ПДВ); </w:t>
            </w:r>
          </w:p>
          <w:p w14:paraId="1CE81831" w14:textId="49CEBFB5" w:rsidR="00E74790" w:rsidRPr="00B31605" w:rsidRDefault="004D077D" w:rsidP="004D077D">
            <w:pPr>
              <w:ind w:firstLine="6"/>
              <w:contextualSpacing/>
              <w:jc w:val="both"/>
              <w:textAlignment w:val="baseline"/>
              <w:rPr>
                <w:b/>
                <w:sz w:val="22"/>
                <w:szCs w:val="22"/>
              </w:rPr>
            </w:pPr>
            <w:r w:rsidRPr="00B31605">
              <w:rPr>
                <w:b/>
                <w:sz w:val="22"/>
                <w:szCs w:val="22"/>
              </w:rPr>
              <w:t xml:space="preserve">ІІ клас – </w:t>
            </w:r>
            <w:r w:rsidRPr="002824AF">
              <w:rPr>
                <w:b/>
                <w:sz w:val="22"/>
                <w:szCs w:val="22"/>
              </w:rPr>
              <w:t>7</w:t>
            </w:r>
            <w:r>
              <w:rPr>
                <w:b/>
                <w:sz w:val="22"/>
                <w:szCs w:val="22"/>
              </w:rPr>
              <w:t>,</w:t>
            </w:r>
            <w:r w:rsidRPr="002824AF">
              <w:rPr>
                <w:b/>
                <w:sz w:val="22"/>
                <w:szCs w:val="22"/>
              </w:rPr>
              <w:t>77434</w:t>
            </w:r>
            <w:r>
              <w:rPr>
                <w:b/>
                <w:sz w:val="22"/>
                <w:szCs w:val="22"/>
              </w:rPr>
              <w:t xml:space="preserve"> </w:t>
            </w:r>
            <w:r w:rsidRPr="00B31605">
              <w:rPr>
                <w:b/>
                <w:sz w:val="22"/>
                <w:szCs w:val="22"/>
              </w:rPr>
              <w:t>грн/кВт·год (без ПДВ).</w:t>
            </w:r>
          </w:p>
          <w:p w14:paraId="0EF4D124" w14:textId="77777777" w:rsidR="00E37297" w:rsidRPr="00FC73E6" w:rsidRDefault="00E37297" w:rsidP="00E37297">
            <w:pPr>
              <w:jc w:val="both"/>
              <w:rPr>
                <w:b/>
                <w:sz w:val="22"/>
                <w:szCs w:val="22"/>
              </w:rPr>
            </w:pPr>
          </w:p>
          <w:p w14:paraId="6108148A" w14:textId="77777777" w:rsidR="003842FC" w:rsidRPr="00FC73E6" w:rsidRDefault="0050241B" w:rsidP="003842FC">
            <w:pPr>
              <w:jc w:val="both"/>
              <w:rPr>
                <w:sz w:val="22"/>
                <w:szCs w:val="22"/>
              </w:rPr>
            </w:pPr>
            <w:r w:rsidRPr="00FC73E6">
              <w:rPr>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3842FC" w:rsidRPr="00FC73E6">
                <w:rPr>
                  <w:rStyle w:val="a8"/>
                  <w:sz w:val="22"/>
                  <w:szCs w:val="22"/>
                </w:rPr>
                <w:t>https://vin.enera.ua</w:t>
              </w:r>
            </w:hyperlink>
            <w:r w:rsidR="003842FC" w:rsidRPr="00FC73E6">
              <w:rPr>
                <w:sz w:val="22"/>
                <w:szCs w:val="22"/>
              </w:rPr>
              <w:t xml:space="preserve"> </w:t>
            </w:r>
          </w:p>
          <w:p w14:paraId="0E08D065" w14:textId="77777777" w:rsidR="0050241B" w:rsidRPr="00FC73E6" w:rsidRDefault="005D3887" w:rsidP="003842FC">
            <w:pPr>
              <w:jc w:val="both"/>
            </w:pPr>
            <w:r w:rsidRPr="00FC73E6">
              <w:rPr>
                <w:sz w:val="22"/>
                <w:szCs w:val="22"/>
              </w:rPr>
              <w:t>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037F1" w:rsidRPr="00FC73E6" w14:paraId="7A45BDC1" w14:textId="77777777" w:rsidTr="005D3887">
        <w:trPr>
          <w:trHeight w:val="2789"/>
        </w:trPr>
        <w:tc>
          <w:tcPr>
            <w:tcW w:w="3147" w:type="dxa"/>
            <w:shd w:val="clear" w:color="auto" w:fill="auto"/>
          </w:tcPr>
          <w:p w14:paraId="4F54EFED"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634" w:type="dxa"/>
            <w:shd w:val="clear" w:color="auto" w:fill="auto"/>
          </w:tcPr>
          <w:p w14:paraId="08853B6F" w14:textId="77777777" w:rsidR="003037F1" w:rsidRPr="00FC73E6" w:rsidRDefault="003842FC" w:rsidP="003037F1">
            <w:pPr>
              <w:jc w:val="both"/>
              <w:rPr>
                <w:sz w:val="22"/>
                <w:szCs w:val="22"/>
              </w:rPr>
            </w:pPr>
            <w:r w:rsidRPr="00FC73E6">
              <w:rPr>
                <w:sz w:val="22"/>
                <w:szCs w:val="22"/>
              </w:rPr>
              <w:t xml:space="preserve">Вінницька </w:t>
            </w:r>
            <w:r w:rsidR="003037F1" w:rsidRPr="00FC73E6">
              <w:rPr>
                <w:sz w:val="22"/>
                <w:szCs w:val="22"/>
              </w:rPr>
              <w:t>область</w:t>
            </w:r>
          </w:p>
        </w:tc>
      </w:tr>
      <w:tr w:rsidR="003037F1" w:rsidRPr="00FC73E6" w14:paraId="4E896060" w14:textId="77777777" w:rsidTr="005D3887">
        <w:tc>
          <w:tcPr>
            <w:tcW w:w="3147" w:type="dxa"/>
            <w:shd w:val="clear" w:color="auto" w:fill="auto"/>
          </w:tcPr>
          <w:p w14:paraId="608D8A4D"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lastRenderedPageBreak/>
              <w:t xml:space="preserve">Спосіб оплати </w:t>
            </w:r>
          </w:p>
        </w:tc>
        <w:tc>
          <w:tcPr>
            <w:tcW w:w="6634" w:type="dxa"/>
            <w:shd w:val="clear" w:color="auto" w:fill="auto"/>
          </w:tcPr>
          <w:p w14:paraId="30FF891C" w14:textId="77777777" w:rsidR="003037F1" w:rsidRPr="00FC73E6" w:rsidRDefault="003037F1" w:rsidP="003842FC">
            <w:pPr>
              <w:jc w:val="both"/>
              <w:rPr>
                <w:sz w:val="22"/>
                <w:szCs w:val="22"/>
              </w:rPr>
            </w:pPr>
            <w:r w:rsidRPr="00FC73E6">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563BC88B" w14:textId="77777777" w:rsidR="003037F1" w:rsidRPr="00FC73E6" w:rsidRDefault="003037F1" w:rsidP="003842FC">
            <w:pPr>
              <w:jc w:val="both"/>
              <w:rPr>
                <w:sz w:val="22"/>
                <w:szCs w:val="22"/>
              </w:rPr>
            </w:pPr>
            <w:r w:rsidRPr="00FC73E6">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3037F1" w:rsidRPr="00FC73E6" w14:paraId="15231674" w14:textId="77777777" w:rsidTr="005D3887">
        <w:tc>
          <w:tcPr>
            <w:tcW w:w="3147" w:type="dxa"/>
            <w:shd w:val="clear" w:color="auto" w:fill="auto"/>
          </w:tcPr>
          <w:p w14:paraId="07432197"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Термін (строк)  виставлення рахунку за спожиту електричну енергію</w:t>
            </w:r>
            <w:r w:rsidRPr="00FC73E6">
              <w:rPr>
                <w:rFonts w:ascii="Times New Roman" w:eastAsia="Calibri" w:hAnsi="Times New Roman" w:cs="Times New Roman"/>
                <w:b/>
                <w:bCs/>
                <w:sz w:val="22"/>
                <w:szCs w:val="22"/>
                <w:lang w:val="uk-UA"/>
              </w:rPr>
              <w:t xml:space="preserve">  </w:t>
            </w:r>
          </w:p>
        </w:tc>
        <w:tc>
          <w:tcPr>
            <w:tcW w:w="6634" w:type="dxa"/>
            <w:shd w:val="clear" w:color="auto" w:fill="auto"/>
          </w:tcPr>
          <w:p w14:paraId="356C41BF"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Рахунок надається Споживачу не пізніше десятого робочого дня місяця, наступного за розрахунковим.</w:t>
            </w:r>
          </w:p>
        </w:tc>
      </w:tr>
      <w:tr w:rsidR="003037F1" w:rsidRPr="00FC73E6" w14:paraId="3CECEB57" w14:textId="77777777" w:rsidTr="005D3887">
        <w:tc>
          <w:tcPr>
            <w:tcW w:w="3147" w:type="dxa"/>
            <w:shd w:val="clear" w:color="auto" w:fill="auto"/>
          </w:tcPr>
          <w:p w14:paraId="7E21205A"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Термін (строк) оплати рахунку за спожиту електричну енергію</w:t>
            </w:r>
            <w:r w:rsidRPr="00FC73E6">
              <w:rPr>
                <w:rFonts w:ascii="Times New Roman" w:eastAsia="Calibri" w:hAnsi="Times New Roman" w:cs="Times New Roman"/>
                <w:b/>
                <w:bCs/>
                <w:sz w:val="22"/>
                <w:szCs w:val="22"/>
                <w:lang w:val="uk-UA"/>
              </w:rPr>
              <w:t xml:space="preserve">  </w:t>
            </w:r>
          </w:p>
        </w:tc>
        <w:tc>
          <w:tcPr>
            <w:tcW w:w="6634" w:type="dxa"/>
            <w:shd w:val="clear" w:color="auto" w:fill="auto"/>
          </w:tcPr>
          <w:p w14:paraId="57E31015"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Протягом 5 робочих днів від дати отримання рахунка</w:t>
            </w:r>
          </w:p>
        </w:tc>
      </w:tr>
      <w:tr w:rsidR="003037F1" w:rsidRPr="00FC73E6" w14:paraId="73AF945F" w14:textId="77777777" w:rsidTr="005D3887">
        <w:tc>
          <w:tcPr>
            <w:tcW w:w="3147" w:type="dxa"/>
            <w:shd w:val="clear" w:color="auto" w:fill="auto"/>
          </w:tcPr>
          <w:p w14:paraId="680D5027" w14:textId="77777777" w:rsidR="003037F1" w:rsidRPr="00FC73E6" w:rsidRDefault="00FB6BC2" w:rsidP="003037F1">
            <w:pPr>
              <w:pStyle w:val="HTML"/>
              <w:rPr>
                <w:rFonts w:ascii="Times New Roman" w:eastAsia="Calibri" w:hAnsi="Times New Roman" w:cs="Times New Roman"/>
                <w:sz w:val="22"/>
                <w:szCs w:val="22"/>
                <w:lang w:val="uk-UA"/>
              </w:rPr>
            </w:pPr>
            <w:r w:rsidRPr="00FC73E6">
              <w:rPr>
                <w:rFonts w:ascii="Times New Roman" w:hAnsi="Times New Roman" w:cs="Times New Roman"/>
                <w:b/>
                <w:bCs/>
                <w:color w:val="auto"/>
                <w:sz w:val="22"/>
                <w:szCs w:val="22"/>
                <w:lang w:val="uk-UA" w:eastAsia="uk-UA"/>
              </w:rPr>
              <w:t>Визначення способу оплати послуг з розподілу та передачі електричної енергії</w:t>
            </w:r>
          </w:p>
        </w:tc>
        <w:tc>
          <w:tcPr>
            <w:tcW w:w="6634" w:type="dxa"/>
            <w:shd w:val="clear" w:color="auto" w:fill="auto"/>
          </w:tcPr>
          <w:p w14:paraId="61C8E96B" w14:textId="77777777" w:rsidR="003037F1" w:rsidRPr="00FC73E6" w:rsidRDefault="00FB6BC2" w:rsidP="003842FC">
            <w:pPr>
              <w:jc w:val="both"/>
              <w:rPr>
                <w:rFonts w:eastAsia="Calibri"/>
                <w:sz w:val="22"/>
                <w:szCs w:val="22"/>
              </w:rPr>
            </w:pPr>
            <w:r w:rsidRPr="00FC73E6">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3037F1" w:rsidRPr="00FC73E6" w14:paraId="4B06E44B" w14:textId="77777777" w:rsidTr="005D3887">
        <w:tc>
          <w:tcPr>
            <w:tcW w:w="3147" w:type="dxa"/>
            <w:shd w:val="clear" w:color="auto" w:fill="auto"/>
          </w:tcPr>
          <w:p w14:paraId="31DBECEF"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Розмір пені за порушення строку оплати або штраф</w:t>
            </w:r>
          </w:p>
        </w:tc>
        <w:tc>
          <w:tcPr>
            <w:tcW w:w="6634" w:type="dxa"/>
            <w:shd w:val="clear" w:color="auto" w:fill="auto"/>
          </w:tcPr>
          <w:p w14:paraId="5D1D605E" w14:textId="77777777" w:rsidR="003037F1" w:rsidRPr="00FC73E6" w:rsidRDefault="003037F1" w:rsidP="003842FC">
            <w:pPr>
              <w:jc w:val="both"/>
              <w:rPr>
                <w:sz w:val="22"/>
                <w:szCs w:val="22"/>
              </w:rPr>
            </w:pPr>
            <w:r w:rsidRPr="00FC73E6">
              <w:rPr>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3037F1" w:rsidRPr="00FC73E6" w14:paraId="671CDA7D" w14:textId="77777777" w:rsidTr="005D3887">
        <w:tc>
          <w:tcPr>
            <w:tcW w:w="3147" w:type="dxa"/>
            <w:shd w:val="clear" w:color="auto" w:fill="auto"/>
          </w:tcPr>
          <w:p w14:paraId="6270EB88"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634" w:type="dxa"/>
            <w:shd w:val="clear" w:color="auto" w:fill="auto"/>
          </w:tcPr>
          <w:p w14:paraId="2108BBE4"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037F1" w:rsidRPr="00FC73E6" w14:paraId="7DE351CF" w14:textId="77777777" w:rsidTr="005D3887">
        <w:tc>
          <w:tcPr>
            <w:tcW w:w="3147" w:type="dxa"/>
            <w:shd w:val="clear" w:color="auto" w:fill="auto"/>
          </w:tcPr>
          <w:p w14:paraId="58F6E43F"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634" w:type="dxa"/>
            <w:shd w:val="clear" w:color="auto" w:fill="auto"/>
          </w:tcPr>
          <w:p w14:paraId="129F21E0" w14:textId="77777777" w:rsidR="003037F1" w:rsidRPr="00FC73E6" w:rsidRDefault="003037F1" w:rsidP="003037F1">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3037F1" w:rsidRPr="00FC73E6" w14:paraId="143F6FEC" w14:textId="77777777" w:rsidTr="005D3887">
        <w:tc>
          <w:tcPr>
            <w:tcW w:w="3147" w:type="dxa"/>
            <w:shd w:val="clear" w:color="auto" w:fill="auto"/>
          </w:tcPr>
          <w:p w14:paraId="14C65E53"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Строк  дії Договору та умови пролонгації</w:t>
            </w:r>
          </w:p>
        </w:tc>
        <w:tc>
          <w:tcPr>
            <w:tcW w:w="6634" w:type="dxa"/>
            <w:shd w:val="clear" w:color="auto" w:fill="auto"/>
          </w:tcPr>
          <w:p w14:paraId="191D4DD4" w14:textId="77777777" w:rsidR="003037F1" w:rsidRPr="00FC73E6" w:rsidRDefault="003842FC" w:rsidP="003037F1">
            <w:pPr>
              <w:jc w:val="both"/>
              <w:rPr>
                <w:rFonts w:eastAsia="Calibri"/>
                <w:sz w:val="22"/>
                <w:szCs w:val="22"/>
              </w:rPr>
            </w:pPr>
            <w:r w:rsidRPr="00FC73E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037F1" w:rsidRPr="00FC73E6" w14:paraId="79AC4ECD" w14:textId="77777777" w:rsidTr="005D3887">
        <w:tc>
          <w:tcPr>
            <w:tcW w:w="3147" w:type="dxa"/>
            <w:shd w:val="clear" w:color="auto" w:fill="auto"/>
          </w:tcPr>
          <w:p w14:paraId="60B56329"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Урахування пільг/субсидії</w:t>
            </w:r>
          </w:p>
        </w:tc>
        <w:tc>
          <w:tcPr>
            <w:tcW w:w="6634" w:type="dxa"/>
            <w:shd w:val="clear" w:color="auto" w:fill="auto"/>
          </w:tcPr>
          <w:p w14:paraId="29A9FF1A" w14:textId="77777777" w:rsidR="003037F1" w:rsidRPr="00FC73E6" w:rsidRDefault="003037F1" w:rsidP="003037F1">
            <w:pPr>
              <w:jc w:val="both"/>
              <w:rPr>
                <w:rFonts w:eastAsia="Calibri"/>
                <w:sz w:val="22"/>
                <w:szCs w:val="22"/>
              </w:rPr>
            </w:pPr>
            <w:r w:rsidRPr="00FC73E6">
              <w:rPr>
                <w:rFonts w:eastAsia="Calibri"/>
                <w:sz w:val="22"/>
                <w:szCs w:val="22"/>
              </w:rPr>
              <w:t>Не надаються</w:t>
            </w:r>
          </w:p>
        </w:tc>
      </w:tr>
      <w:tr w:rsidR="003037F1" w:rsidRPr="00FC73E6" w14:paraId="78037A0B" w14:textId="77777777" w:rsidTr="005D3887">
        <w:tc>
          <w:tcPr>
            <w:tcW w:w="3147" w:type="dxa"/>
            <w:shd w:val="clear" w:color="auto" w:fill="auto"/>
          </w:tcPr>
          <w:p w14:paraId="6257FDD0" w14:textId="77777777" w:rsidR="003037F1" w:rsidRPr="00FC73E6" w:rsidRDefault="003037F1" w:rsidP="003037F1">
            <w:pPr>
              <w:pStyle w:val="HTML"/>
              <w:rPr>
                <w:rFonts w:ascii="Times New Roman" w:hAnsi="Times New Roman" w:cs="Times New Roman"/>
                <w:b/>
                <w:bCs/>
                <w:sz w:val="22"/>
                <w:szCs w:val="22"/>
                <w:lang w:val="uk-UA"/>
              </w:rPr>
            </w:pPr>
            <w:r w:rsidRPr="00FC73E6">
              <w:rPr>
                <w:rFonts w:ascii="Times New Roman" w:hAnsi="Times New Roman" w:cs="Times New Roman"/>
                <w:b/>
                <w:bCs/>
                <w:sz w:val="22"/>
                <w:szCs w:val="22"/>
                <w:lang w:val="uk-UA"/>
              </w:rPr>
              <w:t>Можливість постачання захищеним споживачам</w:t>
            </w:r>
          </w:p>
        </w:tc>
        <w:tc>
          <w:tcPr>
            <w:tcW w:w="6634" w:type="dxa"/>
            <w:shd w:val="clear" w:color="auto" w:fill="auto"/>
          </w:tcPr>
          <w:p w14:paraId="64B111C4" w14:textId="77777777" w:rsidR="003037F1" w:rsidRPr="00FC73E6" w:rsidRDefault="003037F1" w:rsidP="003037F1">
            <w:pPr>
              <w:jc w:val="both"/>
              <w:rPr>
                <w:sz w:val="22"/>
                <w:szCs w:val="22"/>
              </w:rPr>
            </w:pPr>
            <w:r w:rsidRPr="00FC73E6">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3037F1" w:rsidRPr="00FC73E6" w14:paraId="18F48EB0" w14:textId="77777777" w:rsidTr="005D3887">
        <w:tc>
          <w:tcPr>
            <w:tcW w:w="3147" w:type="dxa"/>
            <w:shd w:val="clear" w:color="auto" w:fill="auto"/>
          </w:tcPr>
          <w:p w14:paraId="386E0324" w14:textId="77777777" w:rsidR="003037F1" w:rsidRPr="00FC73E6" w:rsidRDefault="003037F1" w:rsidP="003037F1">
            <w:pPr>
              <w:rPr>
                <w:b/>
                <w:bCs/>
                <w:sz w:val="22"/>
                <w:szCs w:val="22"/>
              </w:rPr>
            </w:pPr>
            <w:r w:rsidRPr="00FC73E6">
              <w:rPr>
                <w:b/>
                <w:bCs/>
                <w:sz w:val="22"/>
                <w:szCs w:val="22"/>
              </w:rPr>
              <w:t>Податкові зобов’язання</w:t>
            </w:r>
          </w:p>
        </w:tc>
        <w:tc>
          <w:tcPr>
            <w:tcW w:w="6634" w:type="dxa"/>
            <w:shd w:val="clear" w:color="auto" w:fill="auto"/>
          </w:tcPr>
          <w:p w14:paraId="6F7B3B64" w14:textId="77777777" w:rsidR="003037F1" w:rsidRPr="00FC73E6" w:rsidRDefault="003037F1" w:rsidP="003037F1">
            <w:pPr>
              <w:jc w:val="both"/>
              <w:textAlignment w:val="baseline"/>
              <w:rPr>
                <w:sz w:val="22"/>
                <w:szCs w:val="22"/>
              </w:rPr>
            </w:pPr>
            <w:r w:rsidRPr="00FC73E6">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5A257D3" w14:textId="77777777" w:rsidR="003037F1" w:rsidRPr="00FC73E6" w:rsidRDefault="003037F1" w:rsidP="003037F1">
            <w:pPr>
              <w:jc w:val="both"/>
              <w:textAlignment w:val="baseline"/>
              <w:rPr>
                <w:sz w:val="22"/>
                <w:szCs w:val="22"/>
              </w:rPr>
            </w:pPr>
            <w:r w:rsidRPr="00FC73E6">
              <w:rPr>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20101418" w14:textId="77777777" w:rsidR="003037F1" w:rsidRPr="00FC73E6" w:rsidRDefault="003037F1" w:rsidP="003037F1">
            <w:pPr>
              <w:jc w:val="both"/>
              <w:rPr>
                <w:sz w:val="22"/>
                <w:szCs w:val="22"/>
              </w:rPr>
            </w:pPr>
            <w:r w:rsidRPr="00FC73E6">
              <w:rPr>
                <w:sz w:val="22"/>
                <w:szCs w:val="22"/>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23DF996A" w14:textId="77777777" w:rsidR="003037F1" w:rsidRPr="00FC73E6" w:rsidRDefault="003037F1" w:rsidP="003037F1">
            <w:pPr>
              <w:jc w:val="both"/>
              <w:rPr>
                <w:sz w:val="22"/>
                <w:szCs w:val="22"/>
              </w:rPr>
            </w:pPr>
            <w:r w:rsidRPr="00FC73E6">
              <w:rPr>
                <w:sz w:val="22"/>
                <w:szCs w:val="22"/>
              </w:rPr>
              <w:t xml:space="preserve">Якщо у подальшому такий розрахунок коригування буде зареєстрований Споживачем, Постачальник зобов’язується </w:t>
            </w:r>
            <w:r w:rsidRPr="00FC73E6">
              <w:rPr>
                <w:sz w:val="22"/>
                <w:szCs w:val="22"/>
              </w:rPr>
              <w:lastRenderedPageBreak/>
              <w:t>повернути Споживачу кошти, сплачені останнім за даним пунктом комерційної пропозиції.</w:t>
            </w:r>
          </w:p>
          <w:p w14:paraId="540D2FEE" w14:textId="77777777" w:rsidR="003037F1" w:rsidRPr="00FC73E6" w:rsidRDefault="003037F1" w:rsidP="003037F1">
            <w:pPr>
              <w:jc w:val="both"/>
              <w:rPr>
                <w:sz w:val="22"/>
                <w:szCs w:val="22"/>
              </w:rPr>
            </w:pPr>
            <w:r w:rsidRPr="00FC73E6">
              <w:rPr>
                <w:iCs/>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3037F1" w:rsidRPr="00FC73E6" w14:paraId="50DB58D4" w14:textId="77777777" w:rsidTr="005D3887">
        <w:tc>
          <w:tcPr>
            <w:tcW w:w="3147" w:type="dxa"/>
            <w:shd w:val="clear" w:color="auto" w:fill="auto"/>
          </w:tcPr>
          <w:p w14:paraId="7912A584" w14:textId="77777777" w:rsidR="003037F1" w:rsidRPr="00FC73E6" w:rsidRDefault="003037F1" w:rsidP="003037F1">
            <w:pPr>
              <w:pStyle w:val="HTML"/>
              <w:jc w:val="both"/>
              <w:rPr>
                <w:rFonts w:ascii="Times New Roman" w:hAnsi="Times New Roman" w:cs="Times New Roman"/>
                <w:sz w:val="22"/>
                <w:szCs w:val="22"/>
                <w:lang w:val="uk-UA"/>
              </w:rPr>
            </w:pPr>
            <w:r w:rsidRPr="00FC73E6">
              <w:rPr>
                <w:rFonts w:ascii="Times New Roman" w:eastAsia="Calibri" w:hAnsi="Times New Roman" w:cs="Times New Roman"/>
                <w:b/>
                <w:bCs/>
                <w:sz w:val="22"/>
                <w:szCs w:val="22"/>
                <w:lang w:val="uk-UA"/>
              </w:rPr>
              <w:lastRenderedPageBreak/>
              <w:t>Електронний документообіг</w:t>
            </w:r>
          </w:p>
        </w:tc>
        <w:tc>
          <w:tcPr>
            <w:tcW w:w="6634" w:type="dxa"/>
            <w:shd w:val="clear" w:color="auto" w:fill="auto"/>
          </w:tcPr>
          <w:p w14:paraId="5B649FE7" w14:textId="77777777" w:rsidR="003842FC" w:rsidRPr="00FC73E6" w:rsidRDefault="003842FC" w:rsidP="003842FC">
            <w:pPr>
              <w:contextualSpacing/>
              <w:jc w:val="both"/>
              <w:textAlignment w:val="baseline"/>
              <w:rPr>
                <w:color w:val="000000"/>
                <w:sz w:val="22"/>
                <w:szCs w:val="22"/>
              </w:rPr>
            </w:pPr>
            <w:r w:rsidRPr="00FC73E6">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E5750F0" w14:textId="77777777" w:rsidR="003842FC" w:rsidRPr="00FC73E6" w:rsidRDefault="003842FC" w:rsidP="003842FC">
            <w:pPr>
              <w:contextualSpacing/>
              <w:jc w:val="both"/>
              <w:textAlignment w:val="baseline"/>
              <w:rPr>
                <w:rFonts w:eastAsia="SimSun"/>
                <w:color w:val="000000"/>
                <w:sz w:val="22"/>
                <w:szCs w:val="22"/>
              </w:rPr>
            </w:pPr>
            <w:r w:rsidRPr="00FC73E6">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6C8CFDE" w14:textId="77777777" w:rsidR="003037F1" w:rsidRPr="00FC73E6" w:rsidRDefault="003842FC" w:rsidP="003037F1">
            <w:pPr>
              <w:jc w:val="both"/>
              <w:rPr>
                <w:sz w:val="22"/>
                <w:szCs w:val="22"/>
              </w:rPr>
            </w:pPr>
            <w:r w:rsidRPr="00FC73E6">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037F1" w:rsidRPr="00FC73E6" w14:paraId="0EDA9D4E" w14:textId="77777777" w:rsidTr="005D3887">
        <w:tc>
          <w:tcPr>
            <w:tcW w:w="3147" w:type="dxa"/>
            <w:shd w:val="clear" w:color="auto" w:fill="auto"/>
          </w:tcPr>
          <w:p w14:paraId="09EBAD69" w14:textId="77777777" w:rsidR="003037F1" w:rsidRPr="00FC73E6" w:rsidRDefault="003037F1" w:rsidP="003037F1">
            <w:pPr>
              <w:pStyle w:val="HTML"/>
              <w:jc w:val="both"/>
              <w:rPr>
                <w:rFonts w:ascii="Times New Roman" w:hAnsi="Times New Roman" w:cs="Times New Roman"/>
                <w:b/>
                <w:bCs/>
                <w:sz w:val="22"/>
                <w:szCs w:val="22"/>
                <w:lang w:val="uk-UA"/>
              </w:rPr>
            </w:pPr>
            <w:r w:rsidRPr="00FC73E6">
              <w:rPr>
                <w:rFonts w:ascii="Times New Roman" w:hAnsi="Times New Roman" w:cs="Times New Roman"/>
                <w:b/>
                <w:bCs/>
                <w:sz w:val="22"/>
                <w:szCs w:val="22"/>
                <w:lang w:val="uk-UA"/>
              </w:rPr>
              <w:t>Інші умови</w:t>
            </w:r>
          </w:p>
        </w:tc>
        <w:tc>
          <w:tcPr>
            <w:tcW w:w="6634" w:type="dxa"/>
            <w:shd w:val="clear" w:color="auto" w:fill="auto"/>
          </w:tcPr>
          <w:p w14:paraId="31685A4E" w14:textId="77777777" w:rsidR="003842FC" w:rsidRPr="00FC73E6" w:rsidRDefault="003842FC" w:rsidP="003842FC">
            <w:pPr>
              <w:pStyle w:val="Style7"/>
              <w:widowControl/>
              <w:tabs>
                <w:tab w:val="left" w:pos="351"/>
              </w:tabs>
              <w:spacing w:line="240" w:lineRule="auto"/>
              <w:ind w:left="10" w:hanging="10"/>
              <w:contextualSpacing/>
              <w:rPr>
                <w:rStyle w:val="FontStyle12"/>
                <w:rFonts w:eastAsia="SimSun"/>
                <w:color w:val="000000"/>
                <w:lang w:val="uk-UA" w:eastAsia="uk-UA"/>
              </w:rPr>
            </w:pPr>
            <w:r w:rsidRPr="00FC73E6">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B5D2EEB" w14:textId="77777777" w:rsidR="003842FC" w:rsidRPr="00FC73E6" w:rsidRDefault="003842FC" w:rsidP="003842FC">
            <w:pPr>
              <w:pStyle w:val="Style6"/>
              <w:widowControl/>
              <w:numPr>
                <w:ilvl w:val="0"/>
                <w:numId w:val="4"/>
              </w:numPr>
              <w:tabs>
                <w:tab w:val="left" w:pos="351"/>
                <w:tab w:val="left" w:pos="451"/>
              </w:tabs>
              <w:spacing w:line="240" w:lineRule="auto"/>
              <w:ind w:left="293" w:hanging="293"/>
              <w:contextualSpacing/>
              <w:rPr>
                <w:rStyle w:val="FontStyle12"/>
                <w:color w:val="000000"/>
                <w:lang w:val="uk-UA"/>
              </w:rPr>
            </w:pPr>
            <w:r w:rsidRPr="00FC73E6">
              <w:rPr>
                <w:rStyle w:val="FontStyle12"/>
                <w:color w:val="000000"/>
                <w:lang w:val="uk-UA"/>
              </w:rPr>
              <w:t>через особистий кабінет на офіційному сайті Постачальника у мережі Інтернет;</w:t>
            </w:r>
          </w:p>
          <w:p w14:paraId="10DD92EA" w14:textId="77777777" w:rsidR="003842FC" w:rsidRPr="00FC73E6" w:rsidRDefault="003842FC" w:rsidP="003842FC">
            <w:pPr>
              <w:pStyle w:val="Style6"/>
              <w:widowControl/>
              <w:numPr>
                <w:ilvl w:val="0"/>
                <w:numId w:val="4"/>
              </w:numPr>
              <w:tabs>
                <w:tab w:val="left" w:pos="351"/>
                <w:tab w:val="left" w:pos="451"/>
              </w:tabs>
              <w:spacing w:line="240" w:lineRule="auto"/>
              <w:ind w:left="293" w:hanging="293"/>
              <w:contextualSpacing/>
              <w:rPr>
                <w:rStyle w:val="FontStyle12"/>
                <w:color w:val="000000"/>
                <w:lang w:val="uk-UA"/>
              </w:rPr>
            </w:pPr>
            <w:r w:rsidRPr="00FC73E6">
              <w:rPr>
                <w:rStyle w:val="FontStyle12"/>
                <w:color w:val="000000"/>
                <w:lang w:val="uk-UA"/>
              </w:rPr>
              <w:t>засобами електронного зв'язку на електронну адресу, вказану у заяві-приєднанні до умов Договору;</w:t>
            </w:r>
          </w:p>
          <w:p w14:paraId="1F59CE90" w14:textId="77777777" w:rsidR="003842FC" w:rsidRPr="00FC73E6" w:rsidRDefault="003842FC" w:rsidP="003842FC">
            <w:pPr>
              <w:pStyle w:val="Style6"/>
              <w:widowControl/>
              <w:numPr>
                <w:ilvl w:val="0"/>
                <w:numId w:val="4"/>
              </w:numPr>
              <w:tabs>
                <w:tab w:val="left" w:pos="351"/>
                <w:tab w:val="left" w:pos="451"/>
              </w:tabs>
              <w:spacing w:line="240" w:lineRule="auto"/>
              <w:ind w:left="293" w:hanging="293"/>
              <w:contextualSpacing/>
              <w:rPr>
                <w:rStyle w:val="FontStyle12"/>
                <w:color w:val="000000"/>
                <w:lang w:val="uk-UA" w:eastAsia="uk-UA"/>
              </w:rPr>
            </w:pPr>
            <w:r w:rsidRPr="00FC73E6">
              <w:rPr>
                <w:rStyle w:val="FontStyle12"/>
                <w:color w:val="000000"/>
                <w:lang w:val="uk-UA" w:eastAsia="uk-UA"/>
              </w:rPr>
              <w:t>СМС-повідомленням на номер, зазначений у заяві-приєднанні до умов Договору;</w:t>
            </w:r>
          </w:p>
          <w:p w14:paraId="53561C97" w14:textId="77777777" w:rsidR="003842FC" w:rsidRPr="00FC73E6" w:rsidRDefault="00323E9F" w:rsidP="003842FC">
            <w:pPr>
              <w:pStyle w:val="Style6"/>
              <w:widowControl/>
              <w:numPr>
                <w:ilvl w:val="0"/>
                <w:numId w:val="4"/>
              </w:numPr>
              <w:tabs>
                <w:tab w:val="left" w:pos="351"/>
                <w:tab w:val="left" w:pos="451"/>
              </w:tabs>
              <w:spacing w:line="240" w:lineRule="auto"/>
              <w:ind w:left="293" w:hanging="293"/>
              <w:contextualSpacing/>
              <w:rPr>
                <w:rStyle w:val="FontStyle12"/>
                <w:color w:val="000000"/>
                <w:lang w:val="uk-UA" w:eastAsia="uk-UA"/>
              </w:rPr>
            </w:pPr>
            <w:r w:rsidRPr="00FC73E6">
              <w:rPr>
                <w:rStyle w:val="FontStyle12"/>
                <w:color w:val="000000"/>
                <w:lang w:val="uk-UA" w:eastAsia="uk-UA"/>
              </w:rPr>
              <w:t>у</w:t>
            </w:r>
            <w:r w:rsidR="003842FC" w:rsidRPr="00FC73E6">
              <w:rPr>
                <w:rStyle w:val="FontStyle12"/>
                <w:color w:val="000000"/>
                <w:lang w:val="uk-UA" w:eastAsia="uk-UA"/>
              </w:rPr>
              <w:t xml:space="preserve"> центрах обслуговування споживачів;</w:t>
            </w:r>
          </w:p>
          <w:p w14:paraId="2993A220" w14:textId="77777777" w:rsidR="003842FC" w:rsidRPr="00FC73E6" w:rsidRDefault="003842FC" w:rsidP="003842FC">
            <w:pPr>
              <w:pStyle w:val="Style6"/>
              <w:widowControl/>
              <w:numPr>
                <w:ilvl w:val="0"/>
                <w:numId w:val="4"/>
              </w:numPr>
              <w:tabs>
                <w:tab w:val="left" w:pos="351"/>
                <w:tab w:val="left" w:pos="451"/>
              </w:tabs>
              <w:spacing w:line="240" w:lineRule="auto"/>
              <w:ind w:left="293" w:hanging="293"/>
              <w:contextualSpacing/>
              <w:rPr>
                <w:rStyle w:val="FontStyle12"/>
                <w:color w:val="000000"/>
                <w:lang w:val="uk-UA" w:eastAsia="uk-UA"/>
              </w:rPr>
            </w:pPr>
            <w:r w:rsidRPr="00FC73E6">
              <w:rPr>
                <w:rStyle w:val="FontStyle12"/>
                <w:color w:val="000000"/>
                <w:lang w:val="uk-UA" w:eastAsia="uk-UA"/>
              </w:rPr>
              <w:t>тощо.</w:t>
            </w:r>
          </w:p>
          <w:p w14:paraId="1FBF743A" w14:textId="77777777" w:rsidR="003037F1" w:rsidRPr="00FC73E6" w:rsidRDefault="003037F1" w:rsidP="003037F1">
            <w:pPr>
              <w:spacing w:line="256" w:lineRule="auto"/>
              <w:jc w:val="both"/>
              <w:rPr>
                <w:sz w:val="22"/>
                <w:szCs w:val="22"/>
              </w:rPr>
            </w:pPr>
          </w:p>
        </w:tc>
      </w:tr>
    </w:tbl>
    <w:p w14:paraId="73D170B5" w14:textId="77777777" w:rsidR="00986A9C" w:rsidRPr="00FC73E6" w:rsidRDefault="00986A9C" w:rsidP="00986A9C">
      <w:pPr>
        <w:pStyle w:val="HTML"/>
        <w:ind w:left="720"/>
        <w:jc w:val="both"/>
        <w:rPr>
          <w:rFonts w:ascii="Times New Roman" w:hAnsi="Times New Roman" w:cs="Times New Roman"/>
          <w:sz w:val="22"/>
          <w:szCs w:val="22"/>
          <w:lang w:val="uk-UA"/>
        </w:rPr>
      </w:pPr>
    </w:p>
    <w:p w14:paraId="62E4A91B" w14:textId="77777777" w:rsidR="003037F1" w:rsidRPr="004D077D" w:rsidRDefault="003037F1" w:rsidP="003037F1">
      <w:pPr>
        <w:rPr>
          <w:sz w:val="22"/>
          <w:szCs w:val="22"/>
        </w:rPr>
      </w:pPr>
      <w:r w:rsidRPr="004D077D">
        <w:rPr>
          <w:sz w:val="22"/>
          <w:szCs w:val="22"/>
        </w:rPr>
        <w:t>Постачальник:</w:t>
      </w:r>
    </w:p>
    <w:p w14:paraId="79385F53" w14:textId="77777777" w:rsidR="003037F1" w:rsidRPr="004D077D" w:rsidRDefault="003037F1" w:rsidP="003037F1">
      <w:pPr>
        <w:rPr>
          <w:sz w:val="22"/>
          <w:szCs w:val="22"/>
        </w:rPr>
      </w:pPr>
      <w:r w:rsidRPr="004D077D">
        <w:rPr>
          <w:sz w:val="22"/>
          <w:szCs w:val="22"/>
        </w:rPr>
        <w:t xml:space="preserve">ТОВ </w:t>
      </w:r>
      <w:r w:rsidR="005D3887" w:rsidRPr="004D077D">
        <w:rPr>
          <w:sz w:val="22"/>
          <w:szCs w:val="22"/>
        </w:rPr>
        <w:t>«</w:t>
      </w:r>
      <w:r w:rsidRPr="004D077D">
        <w:rPr>
          <w:sz w:val="22"/>
          <w:szCs w:val="22"/>
        </w:rPr>
        <w:t xml:space="preserve">ЕНЕРА </w:t>
      </w:r>
      <w:r w:rsidR="003842FC" w:rsidRPr="004D077D">
        <w:rPr>
          <w:sz w:val="22"/>
          <w:szCs w:val="22"/>
        </w:rPr>
        <w:t>ВІННИЦЯ</w:t>
      </w:r>
      <w:r w:rsidR="005D3887" w:rsidRPr="004D077D">
        <w:rPr>
          <w:sz w:val="22"/>
          <w:szCs w:val="22"/>
        </w:rPr>
        <w:t>»</w:t>
      </w:r>
    </w:p>
    <w:p w14:paraId="02ADF049" w14:textId="77777777" w:rsidR="00B8614E" w:rsidRPr="004D077D" w:rsidRDefault="00B8614E">
      <w:pPr>
        <w:rPr>
          <w:sz w:val="22"/>
          <w:szCs w:val="22"/>
        </w:rPr>
      </w:pPr>
    </w:p>
    <w:sectPr w:rsidR="00B8614E" w:rsidRPr="004D077D" w:rsidSect="005D3887">
      <w:headerReference w:type="default" r:id="rId8"/>
      <w:pgSz w:w="11900" w:h="16840"/>
      <w:pgMar w:top="851" w:right="701"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A092" w14:textId="77777777" w:rsidR="00D33E58" w:rsidRDefault="00D33E58" w:rsidP="00603B51">
      <w:r>
        <w:separator/>
      </w:r>
    </w:p>
  </w:endnote>
  <w:endnote w:type="continuationSeparator" w:id="0">
    <w:p w14:paraId="386C328F" w14:textId="77777777" w:rsidR="00D33E58" w:rsidRDefault="00D33E58" w:rsidP="0060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062C4" w14:textId="77777777" w:rsidR="00D33E58" w:rsidRDefault="00D33E58" w:rsidP="00603B51">
      <w:r>
        <w:separator/>
      </w:r>
    </w:p>
  </w:footnote>
  <w:footnote w:type="continuationSeparator" w:id="0">
    <w:p w14:paraId="27D5240D" w14:textId="77777777" w:rsidR="00D33E58" w:rsidRDefault="00D33E58" w:rsidP="0060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7628" w14:textId="77777777" w:rsidR="005D3887" w:rsidRPr="005D3887" w:rsidRDefault="005D3887">
    <w:pPr>
      <w:pStyle w:val="a9"/>
      <w:jc w:val="center"/>
      <w:rPr>
        <w:sz w:val="20"/>
        <w:szCs w:val="20"/>
      </w:rPr>
    </w:pPr>
    <w:r w:rsidRPr="005D3887">
      <w:rPr>
        <w:sz w:val="20"/>
        <w:szCs w:val="20"/>
      </w:rPr>
      <w:fldChar w:fldCharType="begin"/>
    </w:r>
    <w:r w:rsidRPr="005D3887">
      <w:rPr>
        <w:sz w:val="20"/>
        <w:szCs w:val="20"/>
      </w:rPr>
      <w:instrText>PAGE   \* MERGEFORMAT</w:instrText>
    </w:r>
    <w:r w:rsidRPr="005D3887">
      <w:rPr>
        <w:sz w:val="20"/>
        <w:szCs w:val="20"/>
      </w:rPr>
      <w:fldChar w:fldCharType="separate"/>
    </w:r>
    <w:r w:rsidR="00FC73E6">
      <w:rPr>
        <w:noProof/>
        <w:sz w:val="20"/>
        <w:szCs w:val="20"/>
      </w:rPr>
      <w:t>3</w:t>
    </w:r>
    <w:r w:rsidRPr="005D3887">
      <w:rPr>
        <w:sz w:val="20"/>
        <w:szCs w:val="20"/>
      </w:rPr>
      <w:fldChar w:fldCharType="end"/>
    </w:r>
  </w:p>
  <w:p w14:paraId="0525D099" w14:textId="77777777" w:rsidR="005D3887" w:rsidRDefault="005D388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num w:numId="1" w16cid:durableId="1464159136">
    <w:abstractNumId w:val="1"/>
  </w:num>
  <w:num w:numId="2" w16cid:durableId="282348826">
    <w:abstractNumId w:val="3"/>
  </w:num>
  <w:num w:numId="3" w16cid:durableId="310670155">
    <w:abstractNumId w:val="0"/>
  </w:num>
  <w:num w:numId="4" w16cid:durableId="1139568862">
    <w:abstractNumId w:val="2"/>
  </w:num>
  <w:num w:numId="5" w16cid:durableId="1272008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27AAD"/>
    <w:rsid w:val="00086ABD"/>
    <w:rsid w:val="000B36B5"/>
    <w:rsid w:val="000B62EF"/>
    <w:rsid w:val="000E05EC"/>
    <w:rsid w:val="000E6186"/>
    <w:rsid w:val="001045E1"/>
    <w:rsid w:val="001136EE"/>
    <w:rsid w:val="00115FDB"/>
    <w:rsid w:val="00116D1B"/>
    <w:rsid w:val="0013480C"/>
    <w:rsid w:val="00134AE7"/>
    <w:rsid w:val="00141AAF"/>
    <w:rsid w:val="00152840"/>
    <w:rsid w:val="00174A8C"/>
    <w:rsid w:val="00181F55"/>
    <w:rsid w:val="0018724B"/>
    <w:rsid w:val="001A272B"/>
    <w:rsid w:val="001A3105"/>
    <w:rsid w:val="001E4524"/>
    <w:rsid w:val="001E7F7E"/>
    <w:rsid w:val="001F3421"/>
    <w:rsid w:val="002060C2"/>
    <w:rsid w:val="00213552"/>
    <w:rsid w:val="00222E97"/>
    <w:rsid w:val="00223A57"/>
    <w:rsid w:val="00231552"/>
    <w:rsid w:val="00246ABE"/>
    <w:rsid w:val="00261E38"/>
    <w:rsid w:val="00264A63"/>
    <w:rsid w:val="00267364"/>
    <w:rsid w:val="00270685"/>
    <w:rsid w:val="00282F05"/>
    <w:rsid w:val="002B5204"/>
    <w:rsid w:val="003037F1"/>
    <w:rsid w:val="00323E9F"/>
    <w:rsid w:val="003270AF"/>
    <w:rsid w:val="0035500E"/>
    <w:rsid w:val="00363506"/>
    <w:rsid w:val="003737A6"/>
    <w:rsid w:val="003842FC"/>
    <w:rsid w:val="00395311"/>
    <w:rsid w:val="00397342"/>
    <w:rsid w:val="003B00C9"/>
    <w:rsid w:val="003C7171"/>
    <w:rsid w:val="003D0F7A"/>
    <w:rsid w:val="003D67CB"/>
    <w:rsid w:val="003E76FD"/>
    <w:rsid w:val="003F5B57"/>
    <w:rsid w:val="00421B98"/>
    <w:rsid w:val="004231D6"/>
    <w:rsid w:val="00424A98"/>
    <w:rsid w:val="004257FA"/>
    <w:rsid w:val="004561EB"/>
    <w:rsid w:val="0046450A"/>
    <w:rsid w:val="00474836"/>
    <w:rsid w:val="0047700B"/>
    <w:rsid w:val="004812A6"/>
    <w:rsid w:val="004B5FF0"/>
    <w:rsid w:val="004D077D"/>
    <w:rsid w:val="004D0ABA"/>
    <w:rsid w:val="004E566B"/>
    <w:rsid w:val="004E5672"/>
    <w:rsid w:val="004F02DD"/>
    <w:rsid w:val="00501165"/>
    <w:rsid w:val="00501318"/>
    <w:rsid w:val="0050241B"/>
    <w:rsid w:val="0050338B"/>
    <w:rsid w:val="00533A0F"/>
    <w:rsid w:val="0054718F"/>
    <w:rsid w:val="005505A4"/>
    <w:rsid w:val="005811FA"/>
    <w:rsid w:val="005A0337"/>
    <w:rsid w:val="005B173D"/>
    <w:rsid w:val="005D02A5"/>
    <w:rsid w:val="005D37BC"/>
    <w:rsid w:val="005D3887"/>
    <w:rsid w:val="005E1005"/>
    <w:rsid w:val="005E5731"/>
    <w:rsid w:val="00603B51"/>
    <w:rsid w:val="006079B8"/>
    <w:rsid w:val="00610BF9"/>
    <w:rsid w:val="00611E0F"/>
    <w:rsid w:val="006505AE"/>
    <w:rsid w:val="006859BA"/>
    <w:rsid w:val="006F6355"/>
    <w:rsid w:val="00703BC0"/>
    <w:rsid w:val="007168FE"/>
    <w:rsid w:val="00737E0D"/>
    <w:rsid w:val="00743C48"/>
    <w:rsid w:val="007745EE"/>
    <w:rsid w:val="007B5A54"/>
    <w:rsid w:val="007B6F21"/>
    <w:rsid w:val="0087300B"/>
    <w:rsid w:val="008A312A"/>
    <w:rsid w:val="008B30FB"/>
    <w:rsid w:val="008B3113"/>
    <w:rsid w:val="008B343D"/>
    <w:rsid w:val="008B3688"/>
    <w:rsid w:val="008E58A2"/>
    <w:rsid w:val="00912D92"/>
    <w:rsid w:val="00926596"/>
    <w:rsid w:val="009317A4"/>
    <w:rsid w:val="00932406"/>
    <w:rsid w:val="00947F55"/>
    <w:rsid w:val="00986A9C"/>
    <w:rsid w:val="009C1670"/>
    <w:rsid w:val="009E4F9B"/>
    <w:rsid w:val="009E7A7B"/>
    <w:rsid w:val="009F2DD6"/>
    <w:rsid w:val="00A062FA"/>
    <w:rsid w:val="00A4454E"/>
    <w:rsid w:val="00A83545"/>
    <w:rsid w:val="00A93566"/>
    <w:rsid w:val="00AA02E2"/>
    <w:rsid w:val="00AB2782"/>
    <w:rsid w:val="00AC08EA"/>
    <w:rsid w:val="00AC2932"/>
    <w:rsid w:val="00AD29AD"/>
    <w:rsid w:val="00AD3A13"/>
    <w:rsid w:val="00AD6D4D"/>
    <w:rsid w:val="00AE1B92"/>
    <w:rsid w:val="00AF56DB"/>
    <w:rsid w:val="00AF7CBE"/>
    <w:rsid w:val="00B03549"/>
    <w:rsid w:val="00B51B11"/>
    <w:rsid w:val="00B52E32"/>
    <w:rsid w:val="00B55F99"/>
    <w:rsid w:val="00B5646C"/>
    <w:rsid w:val="00B614CC"/>
    <w:rsid w:val="00B8614E"/>
    <w:rsid w:val="00B94062"/>
    <w:rsid w:val="00B94236"/>
    <w:rsid w:val="00BE34BA"/>
    <w:rsid w:val="00BF74CF"/>
    <w:rsid w:val="00C007C4"/>
    <w:rsid w:val="00C20CCA"/>
    <w:rsid w:val="00C629D1"/>
    <w:rsid w:val="00C71424"/>
    <w:rsid w:val="00C84B84"/>
    <w:rsid w:val="00CC0143"/>
    <w:rsid w:val="00CE29C3"/>
    <w:rsid w:val="00D1512C"/>
    <w:rsid w:val="00D23E5F"/>
    <w:rsid w:val="00D31098"/>
    <w:rsid w:val="00D33E58"/>
    <w:rsid w:val="00D5718C"/>
    <w:rsid w:val="00D92024"/>
    <w:rsid w:val="00D920F7"/>
    <w:rsid w:val="00DD0069"/>
    <w:rsid w:val="00DD745A"/>
    <w:rsid w:val="00DE4D2D"/>
    <w:rsid w:val="00E12C13"/>
    <w:rsid w:val="00E37297"/>
    <w:rsid w:val="00E4691A"/>
    <w:rsid w:val="00E55ED6"/>
    <w:rsid w:val="00E61ED3"/>
    <w:rsid w:val="00E74790"/>
    <w:rsid w:val="00EA6C17"/>
    <w:rsid w:val="00ED1B3C"/>
    <w:rsid w:val="00EF32AB"/>
    <w:rsid w:val="00F07C00"/>
    <w:rsid w:val="00F13BF8"/>
    <w:rsid w:val="00F24FF8"/>
    <w:rsid w:val="00F27C2E"/>
    <w:rsid w:val="00F6078E"/>
    <w:rsid w:val="00FA0266"/>
    <w:rsid w:val="00FA389D"/>
    <w:rsid w:val="00FA407C"/>
    <w:rsid w:val="00FB6BC2"/>
    <w:rsid w:val="00FC57D3"/>
    <w:rsid w:val="00FC73E6"/>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12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cs="Segoe UI"/>
      <w:sz w:val="18"/>
      <w:szCs w:val="18"/>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styleId="a8">
    <w:name w:val="Hyperlink"/>
    <w:uiPriority w:val="99"/>
    <w:semiHidden/>
    <w:unhideWhenUsed/>
    <w:rsid w:val="00DE4D2D"/>
    <w:rPr>
      <w:color w:val="0000FF"/>
      <w:u w:val="single"/>
    </w:rPr>
  </w:style>
  <w:style w:type="paragraph" w:styleId="a9">
    <w:name w:val="header"/>
    <w:basedOn w:val="a"/>
    <w:link w:val="aa"/>
    <w:uiPriority w:val="99"/>
    <w:unhideWhenUsed/>
    <w:rsid w:val="00603B51"/>
    <w:pPr>
      <w:tabs>
        <w:tab w:val="center" w:pos="4819"/>
        <w:tab w:val="right" w:pos="9639"/>
      </w:tabs>
    </w:pPr>
  </w:style>
  <w:style w:type="character" w:customStyle="1" w:styleId="aa">
    <w:name w:val="Верхній колонтитул Знак"/>
    <w:link w:val="a9"/>
    <w:uiPriority w:val="99"/>
    <w:rsid w:val="00603B51"/>
    <w:rPr>
      <w:rFonts w:ascii="Times New Roman" w:eastAsia="Times New Roman" w:hAnsi="Times New Roman"/>
      <w:sz w:val="24"/>
      <w:szCs w:val="24"/>
    </w:rPr>
  </w:style>
  <w:style w:type="paragraph" w:styleId="ab">
    <w:name w:val="footer"/>
    <w:basedOn w:val="a"/>
    <w:link w:val="ac"/>
    <w:uiPriority w:val="99"/>
    <w:unhideWhenUsed/>
    <w:rsid w:val="00603B51"/>
    <w:pPr>
      <w:tabs>
        <w:tab w:val="center" w:pos="4819"/>
        <w:tab w:val="right" w:pos="9639"/>
      </w:tabs>
    </w:pPr>
  </w:style>
  <w:style w:type="character" w:customStyle="1" w:styleId="ac">
    <w:name w:val="Нижній колонтитул Знак"/>
    <w:link w:val="ab"/>
    <w:uiPriority w:val="99"/>
    <w:rsid w:val="00603B51"/>
    <w:rPr>
      <w:rFonts w:ascii="Times New Roman" w:eastAsia="Times New Roman" w:hAnsi="Times New Roman"/>
      <w:sz w:val="24"/>
      <w:szCs w:val="24"/>
    </w:rPr>
  </w:style>
  <w:style w:type="paragraph" w:styleId="ad">
    <w:name w:val="Revision"/>
    <w:hidden/>
    <w:uiPriority w:val="99"/>
    <w:semiHidden/>
    <w:rsid w:val="005D3887"/>
    <w:rPr>
      <w:rFonts w:ascii="Times New Roman" w:eastAsia="Times New Roman" w:hAnsi="Times New Roman"/>
      <w:sz w:val="24"/>
      <w:szCs w:val="24"/>
    </w:rPr>
  </w:style>
  <w:style w:type="character" w:customStyle="1" w:styleId="FontStyle12">
    <w:name w:val="Font Style12"/>
    <w:uiPriority w:val="99"/>
    <w:rsid w:val="003842FC"/>
    <w:rPr>
      <w:rFonts w:ascii="Times New Roman" w:hAnsi="Times New Roman" w:cs="Times New Roman"/>
      <w:sz w:val="22"/>
      <w:szCs w:val="22"/>
    </w:rPr>
  </w:style>
  <w:style w:type="paragraph" w:customStyle="1" w:styleId="Style7">
    <w:name w:val="Style7"/>
    <w:basedOn w:val="a"/>
    <w:uiPriority w:val="99"/>
    <w:rsid w:val="003842FC"/>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3842FC"/>
    <w:pPr>
      <w:widowControl w:val="0"/>
      <w:spacing w:line="278" w:lineRule="exact"/>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5185</Words>
  <Characters>2956</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8125</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2025-11-13T14:21:00Z</dcterms:created>
  <dcterms:modified xsi:type="dcterms:W3CDTF">2025-11-13T14:21:00Z</dcterms:modified>
</cp:coreProperties>
</file>