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BCBA" w14:textId="77777777" w:rsidR="00986A9C" w:rsidRPr="008739B7" w:rsidRDefault="00986A9C" w:rsidP="006841C2">
      <w:pPr>
        <w:tabs>
          <w:tab w:val="left" w:pos="1695"/>
        </w:tabs>
        <w:jc w:val="right"/>
        <w:rPr>
          <w:color w:val="000000"/>
          <w:sz w:val="22"/>
          <w:szCs w:val="22"/>
        </w:rPr>
      </w:pPr>
      <w:r w:rsidRPr="008739B7">
        <w:rPr>
          <w:color w:val="000000"/>
          <w:sz w:val="22"/>
          <w:szCs w:val="22"/>
        </w:rPr>
        <w:t xml:space="preserve">Додаток № </w:t>
      </w:r>
      <w:r w:rsidR="00061199" w:rsidRPr="008739B7">
        <w:rPr>
          <w:color w:val="000000"/>
          <w:sz w:val="22"/>
          <w:szCs w:val="22"/>
        </w:rPr>
        <w:t>3</w:t>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r w:rsidR="006841C2" w:rsidRPr="008739B7">
        <w:rPr>
          <w:color w:val="000000"/>
          <w:sz w:val="22"/>
          <w:szCs w:val="22"/>
        </w:rPr>
        <w:tab/>
      </w:r>
    </w:p>
    <w:p w14:paraId="3B4BD6BB" w14:textId="77777777" w:rsidR="00986A9C" w:rsidRPr="008739B7" w:rsidRDefault="00986A9C" w:rsidP="006841C2">
      <w:pPr>
        <w:tabs>
          <w:tab w:val="left" w:pos="1695"/>
        </w:tabs>
        <w:jc w:val="right"/>
        <w:rPr>
          <w:color w:val="000000"/>
          <w:sz w:val="22"/>
          <w:szCs w:val="22"/>
        </w:rPr>
      </w:pPr>
      <w:r w:rsidRPr="008739B7">
        <w:rPr>
          <w:color w:val="000000"/>
          <w:sz w:val="22"/>
          <w:szCs w:val="22"/>
        </w:rPr>
        <w:t>до договору про постачання електричної</w:t>
      </w:r>
      <w:r w:rsidR="006841C2" w:rsidRPr="008739B7">
        <w:rPr>
          <w:color w:val="000000"/>
          <w:sz w:val="22"/>
          <w:szCs w:val="22"/>
        </w:rPr>
        <w:tab/>
      </w:r>
    </w:p>
    <w:p w14:paraId="67798F62" w14:textId="77777777" w:rsidR="00986A9C" w:rsidRPr="008739B7" w:rsidRDefault="00986A9C" w:rsidP="006841C2">
      <w:pPr>
        <w:tabs>
          <w:tab w:val="left" w:pos="1695"/>
        </w:tabs>
        <w:jc w:val="right"/>
        <w:rPr>
          <w:color w:val="000000"/>
          <w:sz w:val="22"/>
          <w:szCs w:val="22"/>
        </w:rPr>
      </w:pPr>
      <w:r w:rsidRPr="008739B7">
        <w:rPr>
          <w:color w:val="000000"/>
          <w:sz w:val="22"/>
          <w:szCs w:val="22"/>
        </w:rPr>
        <w:t>енергії постачальником</w:t>
      </w:r>
      <w:r w:rsidR="003737A6" w:rsidRPr="008739B7">
        <w:rPr>
          <w:color w:val="000000"/>
          <w:sz w:val="22"/>
          <w:szCs w:val="22"/>
        </w:rPr>
        <w:t xml:space="preserve"> </w:t>
      </w:r>
      <w:r w:rsidRPr="008739B7">
        <w:rPr>
          <w:color w:val="000000"/>
          <w:sz w:val="22"/>
          <w:szCs w:val="22"/>
        </w:rPr>
        <w:t>універсальних послуг</w:t>
      </w:r>
    </w:p>
    <w:p w14:paraId="3D7E9F6F" w14:textId="77777777" w:rsidR="006841C2" w:rsidRPr="008739B7" w:rsidRDefault="006841C2" w:rsidP="006841C2">
      <w:pPr>
        <w:tabs>
          <w:tab w:val="left" w:pos="1695"/>
        </w:tabs>
        <w:jc w:val="right"/>
        <w:rPr>
          <w:color w:val="000000"/>
          <w:sz w:val="22"/>
          <w:szCs w:val="22"/>
        </w:rPr>
      </w:pPr>
    </w:p>
    <w:p w14:paraId="3DB73054" w14:textId="77777777" w:rsidR="007B5A54" w:rsidRPr="008739B7" w:rsidRDefault="007B5A54" w:rsidP="006841C2">
      <w:pPr>
        <w:tabs>
          <w:tab w:val="left" w:pos="1695"/>
        </w:tabs>
        <w:jc w:val="right"/>
        <w:rPr>
          <w:color w:val="000000"/>
          <w:sz w:val="22"/>
          <w:szCs w:val="22"/>
        </w:rPr>
      </w:pPr>
    </w:p>
    <w:p w14:paraId="37C5D989" w14:textId="77777777" w:rsidR="00986A9C" w:rsidRPr="008739B7" w:rsidRDefault="00986A9C" w:rsidP="00986A9C">
      <w:pPr>
        <w:tabs>
          <w:tab w:val="left" w:pos="1695"/>
        </w:tabs>
        <w:jc w:val="center"/>
        <w:rPr>
          <w:b/>
          <w:color w:val="000000"/>
          <w:sz w:val="22"/>
          <w:szCs w:val="22"/>
        </w:rPr>
      </w:pPr>
      <w:r w:rsidRPr="008739B7">
        <w:rPr>
          <w:b/>
          <w:color w:val="000000"/>
          <w:sz w:val="22"/>
          <w:szCs w:val="22"/>
        </w:rPr>
        <w:t xml:space="preserve">КОМЕРЦІЙНА ПРОПОЗИЦІЯ </w:t>
      </w:r>
      <w:r w:rsidR="009F331E" w:rsidRPr="008739B7">
        <w:rPr>
          <w:b/>
          <w:color w:val="000000"/>
          <w:sz w:val="22"/>
          <w:szCs w:val="22"/>
        </w:rPr>
        <w:t xml:space="preserve">№ </w:t>
      </w:r>
      <w:r w:rsidR="006841C2" w:rsidRPr="008739B7">
        <w:rPr>
          <w:b/>
          <w:color w:val="000000"/>
          <w:sz w:val="22"/>
          <w:szCs w:val="22"/>
        </w:rPr>
        <w:t>5</w:t>
      </w:r>
    </w:p>
    <w:p w14:paraId="3C374080" w14:textId="77777777" w:rsidR="00986A9C" w:rsidRPr="008739B7" w:rsidRDefault="00986A9C" w:rsidP="00986A9C">
      <w:pPr>
        <w:tabs>
          <w:tab w:val="left" w:pos="1695"/>
        </w:tabs>
        <w:jc w:val="center"/>
        <w:rPr>
          <w:b/>
          <w:bCs/>
          <w:color w:val="000000"/>
          <w:sz w:val="22"/>
          <w:szCs w:val="22"/>
        </w:rPr>
      </w:pPr>
      <w:r w:rsidRPr="008739B7">
        <w:rPr>
          <w:b/>
          <w:color w:val="000000"/>
          <w:sz w:val="22"/>
          <w:szCs w:val="22"/>
        </w:rPr>
        <w:t>(розповсюджується лише на непобутових споживачів</w:t>
      </w:r>
      <w:r w:rsidR="00C20CCA" w:rsidRPr="008739B7">
        <w:rPr>
          <w:b/>
          <w:color w:val="000000"/>
          <w:sz w:val="22"/>
          <w:szCs w:val="22"/>
        </w:rPr>
        <w:t>, я</w:t>
      </w:r>
      <w:r w:rsidR="00F263FA" w:rsidRPr="008739B7">
        <w:rPr>
          <w:b/>
          <w:color w:val="000000"/>
          <w:sz w:val="22"/>
          <w:szCs w:val="22"/>
        </w:rPr>
        <w:t>ким постачальник універсальних послуг здійснює постачання електричної енергії за цінами побутових споживачів</w:t>
      </w:r>
      <w:r w:rsidR="00E82ECB" w:rsidRPr="008739B7">
        <w:rPr>
          <w:b/>
          <w:color w:val="000000"/>
          <w:sz w:val="22"/>
          <w:szCs w:val="22"/>
        </w:rPr>
        <w:t xml:space="preserve"> </w:t>
      </w:r>
      <w:r w:rsidR="00E82ECB" w:rsidRPr="008739B7">
        <w:rPr>
          <w:b/>
          <w:bCs/>
          <w:color w:val="000000"/>
          <w:sz w:val="22"/>
          <w:szCs w:val="22"/>
          <w:shd w:val="clear" w:color="auto" w:fill="FFFFFF"/>
        </w:rPr>
        <w:t>за наявності обліку споживання електроенергії за періодами часу</w:t>
      </w:r>
      <w:r w:rsidRPr="008739B7">
        <w:rPr>
          <w:b/>
          <w:bCs/>
          <w:color w:val="000000"/>
          <w:sz w:val="22"/>
          <w:szCs w:val="22"/>
        </w:rPr>
        <w:t>)</w:t>
      </w:r>
    </w:p>
    <w:p w14:paraId="2EB23F46" w14:textId="77777777" w:rsidR="00986A9C" w:rsidRPr="008739B7" w:rsidRDefault="00986A9C" w:rsidP="00986A9C">
      <w:pPr>
        <w:tabs>
          <w:tab w:val="left" w:pos="1695"/>
        </w:tabs>
        <w:jc w:val="center"/>
        <w:rPr>
          <w:color w:val="000000"/>
          <w:sz w:val="22"/>
          <w:szCs w:val="22"/>
        </w:rPr>
      </w:pPr>
    </w:p>
    <w:p w14:paraId="073232EE" w14:textId="2873DB08" w:rsidR="00986A9C" w:rsidRPr="008739B7" w:rsidRDefault="00986A9C" w:rsidP="00EB6A25">
      <w:pPr>
        <w:tabs>
          <w:tab w:val="left" w:pos="1695"/>
        </w:tabs>
        <w:jc w:val="both"/>
        <w:rPr>
          <w:color w:val="000000"/>
          <w:sz w:val="22"/>
          <w:szCs w:val="22"/>
        </w:rPr>
      </w:pPr>
      <w:r w:rsidRPr="008739B7">
        <w:rPr>
          <w:b/>
          <w:color w:val="000000"/>
          <w:sz w:val="22"/>
          <w:szCs w:val="22"/>
          <w:u w:val="single"/>
        </w:rPr>
        <w:t xml:space="preserve">ТОВАРИСТВО З ОБМЕЖЕНОЮ ВІДПОВІДАЛЬНІСТЮ </w:t>
      </w:r>
      <w:r w:rsidR="006841C2" w:rsidRPr="008739B7">
        <w:rPr>
          <w:b/>
          <w:color w:val="000000"/>
          <w:sz w:val="22"/>
          <w:szCs w:val="22"/>
          <w:u w:val="single"/>
        </w:rPr>
        <w:t>«</w:t>
      </w:r>
      <w:r w:rsidRPr="008739B7">
        <w:rPr>
          <w:b/>
          <w:color w:val="000000"/>
          <w:sz w:val="22"/>
          <w:szCs w:val="22"/>
          <w:u w:val="single"/>
        </w:rPr>
        <w:t xml:space="preserve">ЕНЕРА </w:t>
      </w:r>
      <w:r w:rsidR="006841C2" w:rsidRPr="008739B7">
        <w:rPr>
          <w:b/>
          <w:color w:val="000000"/>
          <w:sz w:val="22"/>
          <w:szCs w:val="22"/>
          <w:u w:val="single"/>
        </w:rPr>
        <w:t>ВІННИЦЯ»</w:t>
      </w:r>
      <w:r w:rsidRPr="008739B7">
        <w:rPr>
          <w:color w:val="000000"/>
          <w:sz w:val="22"/>
          <w:szCs w:val="22"/>
          <w:u w:val="single"/>
        </w:rPr>
        <w:t xml:space="preserve">, </w:t>
      </w:r>
      <w:r w:rsidRPr="008739B7">
        <w:rPr>
          <w:color w:val="000000"/>
          <w:sz w:val="22"/>
          <w:szCs w:val="22"/>
        </w:rPr>
        <w:t xml:space="preserve">що діє на підставі ліцензії, виданої згідно </w:t>
      </w:r>
      <w:r w:rsidR="002B4937">
        <w:rPr>
          <w:color w:val="000000"/>
          <w:sz w:val="22"/>
          <w:szCs w:val="22"/>
        </w:rPr>
        <w:t>п</w:t>
      </w:r>
      <w:r w:rsidRPr="008739B7">
        <w:rPr>
          <w:color w:val="000000"/>
          <w:sz w:val="22"/>
          <w:szCs w:val="22"/>
        </w:rPr>
        <w:t>останови Національної комісії, що здійснює державне регулювання у сферах енергетики та комунальних послуг</w:t>
      </w:r>
      <w:r w:rsidR="002B4937">
        <w:rPr>
          <w:color w:val="000000"/>
          <w:sz w:val="22"/>
          <w:szCs w:val="22"/>
        </w:rPr>
        <w:t>,</w:t>
      </w:r>
      <w:r w:rsidRPr="008739B7">
        <w:rPr>
          <w:color w:val="000000"/>
          <w:sz w:val="22"/>
          <w:szCs w:val="22"/>
        </w:rPr>
        <w:t xml:space="preserve"> від 14</w:t>
      </w:r>
      <w:r w:rsidR="002B4937">
        <w:rPr>
          <w:color w:val="000000"/>
          <w:sz w:val="22"/>
          <w:szCs w:val="22"/>
        </w:rPr>
        <w:t>.06.</w:t>
      </w:r>
      <w:r w:rsidRPr="008739B7">
        <w:rPr>
          <w:color w:val="000000"/>
          <w:sz w:val="22"/>
          <w:szCs w:val="22"/>
        </w:rPr>
        <w:t>2018 №</w:t>
      </w:r>
      <w:r w:rsidR="006841C2" w:rsidRPr="008739B7">
        <w:rPr>
          <w:color w:val="000000"/>
          <w:sz w:val="22"/>
          <w:szCs w:val="22"/>
        </w:rPr>
        <w:t xml:space="preserve"> </w:t>
      </w:r>
      <w:r w:rsidRPr="008739B7">
        <w:rPr>
          <w:color w:val="000000"/>
          <w:sz w:val="22"/>
          <w:szCs w:val="22"/>
        </w:rPr>
        <w:t>429, пропонує розглянути наступну комерційну пропозицію.</w:t>
      </w:r>
    </w:p>
    <w:p w14:paraId="2BD8876A" w14:textId="77777777" w:rsidR="00986A9C" w:rsidRPr="008739B7" w:rsidRDefault="00986A9C" w:rsidP="00986A9C">
      <w:pPr>
        <w:tabs>
          <w:tab w:val="left" w:pos="1695"/>
        </w:tabs>
        <w:rPr>
          <w:color w:val="000000"/>
          <w:sz w:val="22"/>
          <w:szCs w:val="22"/>
        </w:rPr>
      </w:pPr>
    </w:p>
    <w:p w14:paraId="2CCFB4C4" w14:textId="77777777" w:rsidR="00986A9C" w:rsidRPr="008739B7" w:rsidRDefault="00986A9C" w:rsidP="00986A9C">
      <w:pPr>
        <w:tabs>
          <w:tab w:val="left" w:pos="1695"/>
        </w:tabs>
        <w:rPr>
          <w:color w:val="000000"/>
          <w:sz w:val="22"/>
          <w:szCs w:val="22"/>
        </w:rPr>
      </w:pPr>
      <w:r w:rsidRPr="008739B7">
        <w:rPr>
          <w:b/>
          <w:color w:val="000000"/>
          <w:sz w:val="22"/>
          <w:szCs w:val="22"/>
          <w:u w:val="single"/>
        </w:rPr>
        <w:t>Предмет комерційної пропозиції</w:t>
      </w:r>
      <w:r w:rsidRPr="008739B7">
        <w:rPr>
          <w:color w:val="000000"/>
          <w:sz w:val="22"/>
          <w:szCs w:val="22"/>
        </w:rPr>
        <w:t>: Постачання електричної енергії як товарної продукції.</w:t>
      </w:r>
    </w:p>
    <w:p w14:paraId="37569314" w14:textId="77777777" w:rsidR="00986A9C" w:rsidRPr="008739B7" w:rsidRDefault="00986A9C" w:rsidP="00986A9C">
      <w:pPr>
        <w:tabs>
          <w:tab w:val="left" w:pos="1695"/>
        </w:tabs>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776"/>
      </w:tblGrid>
      <w:tr w:rsidR="00986A9C" w:rsidRPr="008739B7" w14:paraId="52FA39D9" w14:textId="77777777" w:rsidTr="006841C2">
        <w:tc>
          <w:tcPr>
            <w:tcW w:w="3289" w:type="dxa"/>
            <w:shd w:val="clear" w:color="auto" w:fill="auto"/>
          </w:tcPr>
          <w:p w14:paraId="0F5531DF" w14:textId="77777777" w:rsidR="00986A9C" w:rsidRPr="008739B7" w:rsidRDefault="00986A9C" w:rsidP="00B8614E">
            <w:pPr>
              <w:pStyle w:val="HTML"/>
              <w:jc w:val="both"/>
              <w:rPr>
                <w:rFonts w:ascii="Times New Roman" w:eastAsia="Calibri" w:hAnsi="Times New Roman" w:cs="Times New Roman"/>
                <w:b/>
                <w:sz w:val="22"/>
                <w:szCs w:val="22"/>
                <w:lang w:val="uk-UA"/>
              </w:rPr>
            </w:pPr>
            <w:r w:rsidRPr="008739B7">
              <w:rPr>
                <w:rFonts w:ascii="Times New Roman" w:eastAsia="Calibri" w:hAnsi="Times New Roman" w:cs="Times New Roman"/>
                <w:b/>
                <w:sz w:val="22"/>
                <w:szCs w:val="22"/>
                <w:lang w:val="uk-UA"/>
              </w:rPr>
              <w:t>Умова</w:t>
            </w:r>
          </w:p>
        </w:tc>
        <w:tc>
          <w:tcPr>
            <w:tcW w:w="6776" w:type="dxa"/>
            <w:shd w:val="clear" w:color="auto" w:fill="auto"/>
          </w:tcPr>
          <w:p w14:paraId="5266F60D" w14:textId="77777777" w:rsidR="00986A9C" w:rsidRPr="008739B7" w:rsidRDefault="00986A9C" w:rsidP="00B8614E">
            <w:pPr>
              <w:pStyle w:val="HTML"/>
              <w:jc w:val="both"/>
              <w:rPr>
                <w:rFonts w:ascii="Times New Roman" w:eastAsia="Calibri" w:hAnsi="Times New Roman" w:cs="Times New Roman"/>
                <w:b/>
                <w:sz w:val="22"/>
                <w:szCs w:val="22"/>
                <w:lang w:val="uk-UA"/>
              </w:rPr>
            </w:pPr>
            <w:r w:rsidRPr="008739B7">
              <w:rPr>
                <w:rFonts w:ascii="Times New Roman" w:eastAsia="Calibri" w:hAnsi="Times New Roman" w:cs="Times New Roman"/>
                <w:b/>
                <w:sz w:val="22"/>
                <w:szCs w:val="22"/>
                <w:lang w:val="uk-UA"/>
              </w:rPr>
              <w:t>Пропозиція</w:t>
            </w:r>
          </w:p>
        </w:tc>
      </w:tr>
      <w:tr w:rsidR="000D598A" w:rsidRPr="008739B7" w14:paraId="15946D3C" w14:textId="77777777" w:rsidTr="006841C2">
        <w:tc>
          <w:tcPr>
            <w:tcW w:w="3289" w:type="dxa"/>
            <w:shd w:val="clear" w:color="auto" w:fill="auto"/>
          </w:tcPr>
          <w:p w14:paraId="648A0D9A" w14:textId="77777777" w:rsidR="000D598A" w:rsidRPr="008739B7" w:rsidRDefault="000D598A" w:rsidP="001230F2">
            <w:pPr>
              <w:rPr>
                <w:b/>
                <w:bCs/>
                <w:color w:val="000000"/>
                <w:sz w:val="22"/>
                <w:szCs w:val="22"/>
                <w:lang w:eastAsia="en-US"/>
              </w:rPr>
            </w:pPr>
            <w:r w:rsidRPr="008739B7">
              <w:rPr>
                <w:b/>
                <w:bCs/>
                <w:color w:val="000000"/>
                <w:sz w:val="22"/>
                <w:szCs w:val="22"/>
              </w:rPr>
              <w:t>Критерії, яким має відповідати особа, що обирає дану комерційну пропозицію</w:t>
            </w:r>
          </w:p>
        </w:tc>
        <w:tc>
          <w:tcPr>
            <w:tcW w:w="6776" w:type="dxa"/>
            <w:shd w:val="clear" w:color="auto" w:fill="auto"/>
          </w:tcPr>
          <w:p w14:paraId="37FD0A23" w14:textId="77777777" w:rsidR="00660DE6" w:rsidRDefault="00660DE6" w:rsidP="00660DE6">
            <w:pPr>
              <w:spacing w:line="264" w:lineRule="auto"/>
              <w:jc w:val="both"/>
              <w:rPr>
                <w:sz w:val="22"/>
                <w:szCs w:val="22"/>
              </w:rPr>
            </w:pPr>
            <w:r>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017ABF8A" w14:textId="77777777" w:rsidR="00660DE6" w:rsidRDefault="00660DE6" w:rsidP="00660DE6">
            <w:pPr>
              <w:spacing w:line="264" w:lineRule="auto"/>
              <w:jc w:val="both"/>
              <w:rPr>
                <w:sz w:val="22"/>
                <w:szCs w:val="22"/>
              </w:rPr>
            </w:pPr>
            <w:r>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Pr>
                <w:sz w:val="22"/>
                <w:szCs w:val="22"/>
              </w:rPr>
              <w:t>замково</w:t>
            </w:r>
            <w:proofErr w:type="spellEnd"/>
            <w:r>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5D12D29E" w14:textId="77777777" w:rsidR="00660DE6" w:rsidRDefault="00660DE6" w:rsidP="00660DE6">
            <w:pPr>
              <w:spacing w:line="264" w:lineRule="auto"/>
              <w:jc w:val="both"/>
              <w:rPr>
                <w:sz w:val="22"/>
                <w:szCs w:val="22"/>
              </w:rPr>
            </w:pPr>
            <w:r>
              <w:rPr>
                <w:sz w:val="22"/>
                <w:szCs w:val="22"/>
              </w:rPr>
              <w:t xml:space="preserve">3) дачні та </w:t>
            </w:r>
            <w:proofErr w:type="spellStart"/>
            <w:r>
              <w:rPr>
                <w:sz w:val="22"/>
                <w:szCs w:val="22"/>
              </w:rPr>
              <w:t>дачно</w:t>
            </w:r>
            <w:proofErr w:type="spellEnd"/>
            <w:r>
              <w:rPr>
                <w:sz w:val="22"/>
                <w:szCs w:val="22"/>
              </w:rPr>
              <w:t xml:space="preserve">-будівельні кооперативи, садові товариства, </w:t>
            </w:r>
            <w:proofErr w:type="spellStart"/>
            <w:r>
              <w:rPr>
                <w:sz w:val="22"/>
                <w:szCs w:val="22"/>
              </w:rPr>
              <w:t>гаражно</w:t>
            </w:r>
            <w:proofErr w:type="spellEnd"/>
            <w:r>
              <w:rPr>
                <w:sz w:val="22"/>
                <w:szCs w:val="22"/>
              </w:rPr>
              <w:t>-будівельні кооперативи на технічні цілі (роботу насосів) та освітлення території;</w:t>
            </w:r>
          </w:p>
          <w:p w14:paraId="3626EE29" w14:textId="77777777" w:rsidR="00660DE6" w:rsidRDefault="00660DE6" w:rsidP="00660DE6">
            <w:pPr>
              <w:spacing w:line="264" w:lineRule="auto"/>
              <w:jc w:val="both"/>
              <w:rPr>
                <w:sz w:val="22"/>
                <w:szCs w:val="22"/>
              </w:rPr>
            </w:pPr>
            <w:r>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7DC9D89" w14:textId="7D0DDE00" w:rsidR="000D598A" w:rsidRPr="008739B7" w:rsidRDefault="00660DE6" w:rsidP="00660DE6">
            <w:pPr>
              <w:jc w:val="both"/>
              <w:rPr>
                <w:color w:val="000000"/>
                <w:sz w:val="22"/>
                <w:szCs w:val="22"/>
              </w:rPr>
            </w:pPr>
            <w:r>
              <w:rPr>
                <w:sz w:val="22"/>
                <w:szCs w:val="22"/>
              </w:rPr>
              <w:t>5) релігійні організації в частині споживання електричної енергії на комунально-побутові потреби.</w:t>
            </w:r>
          </w:p>
        </w:tc>
      </w:tr>
      <w:tr w:rsidR="00091294" w:rsidRPr="008739B7" w14:paraId="327DD8C7" w14:textId="77777777" w:rsidTr="006841C2">
        <w:tc>
          <w:tcPr>
            <w:tcW w:w="3289" w:type="dxa"/>
            <w:shd w:val="clear" w:color="auto" w:fill="auto"/>
          </w:tcPr>
          <w:p w14:paraId="7A2F4FD0"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0415E789" w14:textId="2C2411E8" w:rsidR="00091294" w:rsidRPr="008739B7" w:rsidRDefault="00091294" w:rsidP="00AE1CD7">
            <w:pPr>
              <w:jc w:val="both"/>
              <w:rPr>
                <w:color w:val="000000"/>
                <w:sz w:val="22"/>
                <w:szCs w:val="22"/>
              </w:rPr>
            </w:pPr>
            <w:r w:rsidRPr="008739B7">
              <w:rPr>
                <w:color w:val="000000"/>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w:t>
            </w:r>
            <w:r w:rsidR="00660DE6">
              <w:rPr>
                <w:color w:val="000000"/>
                <w:sz w:val="22"/>
                <w:szCs w:val="22"/>
              </w:rPr>
              <w:t xml:space="preserve"> п</w:t>
            </w:r>
            <w:r w:rsidRPr="008739B7">
              <w:rPr>
                <w:color w:val="000000"/>
                <w:sz w:val="22"/>
                <w:szCs w:val="22"/>
              </w:rPr>
              <w:t xml:space="preserve">остановою Кабінету Міністрів України </w:t>
            </w:r>
            <w:r w:rsidR="006841C2" w:rsidRPr="008739B7">
              <w:rPr>
                <w:color w:val="000000"/>
                <w:sz w:val="22"/>
                <w:szCs w:val="22"/>
              </w:rPr>
              <w:br/>
            </w:r>
            <w:r w:rsidRPr="008739B7">
              <w:rPr>
                <w:color w:val="000000"/>
                <w:sz w:val="22"/>
                <w:szCs w:val="22"/>
              </w:rPr>
              <w:t xml:space="preserve">від </w:t>
            </w:r>
            <w:r w:rsidR="00AD58AD">
              <w:rPr>
                <w:color w:val="000000"/>
                <w:sz w:val="22"/>
                <w:szCs w:val="22"/>
              </w:rPr>
              <w:t>05.06.2019</w:t>
            </w:r>
            <w:r w:rsidRPr="008739B7">
              <w:rPr>
                <w:color w:val="000000"/>
                <w:sz w:val="22"/>
                <w:szCs w:val="22"/>
              </w:rPr>
              <w:t xml:space="preserve"> №483 </w:t>
            </w:r>
            <w:r w:rsidR="006841C2" w:rsidRPr="008739B7">
              <w:rPr>
                <w:color w:val="000000"/>
                <w:sz w:val="22"/>
                <w:szCs w:val="22"/>
              </w:rPr>
              <w:t>«</w:t>
            </w:r>
            <w:r w:rsidRPr="008739B7">
              <w:rPr>
                <w:color w:val="000000"/>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6841C2" w:rsidRPr="008739B7">
              <w:rPr>
                <w:color w:val="000000"/>
                <w:sz w:val="22"/>
                <w:szCs w:val="22"/>
              </w:rPr>
              <w:t>»</w:t>
            </w:r>
            <w:r w:rsidRPr="008739B7">
              <w:rPr>
                <w:color w:val="000000"/>
                <w:sz w:val="22"/>
                <w:szCs w:val="22"/>
              </w:rPr>
              <w:t xml:space="preserve"> (</w:t>
            </w:r>
            <w:r w:rsidR="00EB6A25" w:rsidRPr="003C5AF8">
              <w:rPr>
                <w:bCs/>
                <w:sz w:val="22"/>
                <w:szCs w:val="22"/>
              </w:rPr>
              <w:t xml:space="preserve">зі змінами, відповідно до постанови Кабінету Міністрів України від </w:t>
            </w:r>
            <w:r w:rsidR="00660DE6" w:rsidRPr="00F4351B">
              <w:rPr>
                <w:sz w:val="22"/>
                <w:szCs w:val="22"/>
              </w:rPr>
              <w:t>29</w:t>
            </w:r>
            <w:r w:rsidR="00660DE6">
              <w:rPr>
                <w:sz w:val="22"/>
                <w:szCs w:val="22"/>
              </w:rPr>
              <w:t>.04.</w:t>
            </w:r>
            <w:r w:rsidR="00660DE6" w:rsidRPr="00F4351B">
              <w:rPr>
                <w:sz w:val="22"/>
                <w:szCs w:val="22"/>
              </w:rPr>
              <w:t>2026</w:t>
            </w:r>
            <w:r w:rsidR="00660DE6">
              <w:rPr>
                <w:sz w:val="22"/>
                <w:szCs w:val="22"/>
              </w:rPr>
              <w:t xml:space="preserve"> </w:t>
            </w:r>
            <w:r w:rsidR="00660DE6" w:rsidRPr="00F4351B">
              <w:rPr>
                <w:sz w:val="22"/>
                <w:szCs w:val="22"/>
              </w:rPr>
              <w:t>№ 530</w:t>
            </w:r>
            <w:r w:rsidRPr="008739B7">
              <w:rPr>
                <w:color w:val="000000"/>
                <w:sz w:val="22"/>
                <w:szCs w:val="22"/>
              </w:rPr>
              <w:t>)</w:t>
            </w:r>
            <w:r w:rsidR="001E2A60" w:rsidRPr="008739B7">
              <w:rPr>
                <w:color w:val="000000"/>
                <w:sz w:val="22"/>
                <w:szCs w:val="22"/>
              </w:rPr>
              <w:t xml:space="preserve">, </w:t>
            </w:r>
            <w:r w:rsidRPr="008739B7">
              <w:rPr>
                <w:color w:val="000000"/>
                <w:sz w:val="22"/>
                <w:szCs w:val="22"/>
              </w:rPr>
              <w:t xml:space="preserve">а саме – </w:t>
            </w:r>
            <w:r w:rsidR="00AD58AD">
              <w:rPr>
                <w:color w:val="000000"/>
                <w:sz w:val="22"/>
                <w:szCs w:val="22"/>
              </w:rPr>
              <w:br/>
            </w:r>
            <w:r w:rsidRPr="008739B7">
              <w:rPr>
                <w:b/>
                <w:bCs/>
                <w:color w:val="000000"/>
                <w:sz w:val="22"/>
                <w:szCs w:val="22"/>
              </w:rPr>
              <w:t>4,32</w:t>
            </w:r>
            <w:r w:rsidRPr="008739B7">
              <w:rPr>
                <w:b/>
                <w:color w:val="000000"/>
                <w:sz w:val="22"/>
                <w:szCs w:val="22"/>
              </w:rPr>
              <w:t xml:space="preserve"> грн/кВт·год (з урахуванням ПДВ)</w:t>
            </w:r>
            <w:r w:rsidRPr="008739B7">
              <w:rPr>
                <w:color w:val="000000"/>
                <w:sz w:val="22"/>
                <w:szCs w:val="22"/>
              </w:rPr>
              <w:t xml:space="preserve"> із застосуванням таких коефіцієнтів:</w:t>
            </w:r>
          </w:p>
          <w:p w14:paraId="576027BE" w14:textId="77777777" w:rsidR="00091294" w:rsidRPr="008739B7" w:rsidRDefault="00091294" w:rsidP="0086592E">
            <w:pPr>
              <w:jc w:val="both"/>
              <w:rPr>
                <w:color w:val="000000"/>
                <w:sz w:val="22"/>
                <w:szCs w:val="22"/>
              </w:rPr>
            </w:pPr>
            <w:r w:rsidRPr="008739B7">
              <w:rPr>
                <w:color w:val="000000"/>
                <w:sz w:val="22"/>
                <w:szCs w:val="22"/>
              </w:rPr>
              <w:t>1) за тризонним диференціюванням за періодами часу:</w:t>
            </w:r>
          </w:p>
          <w:p w14:paraId="1EE18DF9" w14:textId="77777777" w:rsidR="00091294" w:rsidRPr="008739B7" w:rsidRDefault="00091294">
            <w:pPr>
              <w:numPr>
                <w:ilvl w:val="0"/>
                <w:numId w:val="8"/>
              </w:numPr>
              <w:jc w:val="both"/>
              <w:rPr>
                <w:color w:val="000000"/>
                <w:sz w:val="22"/>
                <w:szCs w:val="22"/>
              </w:rPr>
            </w:pPr>
            <w:r w:rsidRPr="008739B7">
              <w:rPr>
                <w:color w:val="000000"/>
                <w:sz w:val="22"/>
                <w:szCs w:val="22"/>
              </w:rPr>
              <w:t>1,5 фіксованої ціни в години максимального навантаження енергосистеми (з 8-ї до 11-ї години і з 20-ї до 22-ї години);</w:t>
            </w:r>
          </w:p>
          <w:p w14:paraId="4E105D27" w14:textId="77777777" w:rsidR="00091294" w:rsidRPr="008739B7" w:rsidRDefault="00091294">
            <w:pPr>
              <w:numPr>
                <w:ilvl w:val="0"/>
                <w:numId w:val="8"/>
              </w:numPr>
              <w:jc w:val="both"/>
              <w:rPr>
                <w:color w:val="000000"/>
                <w:sz w:val="22"/>
                <w:szCs w:val="22"/>
              </w:rPr>
            </w:pPr>
            <w:r w:rsidRPr="008739B7">
              <w:rPr>
                <w:color w:val="000000"/>
                <w:sz w:val="22"/>
                <w:szCs w:val="22"/>
              </w:rPr>
              <w:lastRenderedPageBreak/>
              <w:t xml:space="preserve">повна фіксована ціна у </w:t>
            </w:r>
            <w:proofErr w:type="spellStart"/>
            <w:r w:rsidRPr="008739B7">
              <w:rPr>
                <w:color w:val="000000"/>
                <w:sz w:val="22"/>
                <w:szCs w:val="22"/>
              </w:rPr>
              <w:t>напівпіковий</w:t>
            </w:r>
            <w:proofErr w:type="spellEnd"/>
            <w:r w:rsidRPr="008739B7">
              <w:rPr>
                <w:color w:val="000000"/>
                <w:sz w:val="22"/>
                <w:szCs w:val="22"/>
              </w:rPr>
              <w:t xml:space="preserve"> період (з 7-ї до 8-ї години, з 11-ї до 20-ї години, з 22-ї до 23-ї години);</w:t>
            </w:r>
          </w:p>
          <w:p w14:paraId="64D276E2" w14:textId="77777777" w:rsidR="00091294" w:rsidRPr="008739B7" w:rsidRDefault="00091294">
            <w:pPr>
              <w:numPr>
                <w:ilvl w:val="0"/>
                <w:numId w:val="8"/>
              </w:numPr>
              <w:jc w:val="both"/>
              <w:rPr>
                <w:color w:val="000000"/>
                <w:sz w:val="22"/>
                <w:szCs w:val="22"/>
              </w:rPr>
            </w:pPr>
            <w:r w:rsidRPr="008739B7">
              <w:rPr>
                <w:color w:val="000000"/>
                <w:sz w:val="22"/>
                <w:szCs w:val="22"/>
              </w:rPr>
              <w:t>0,4 фіксованої ціни в години нічного мінімального навантаження енергосистеми (з 23-ї до 7-ї години).</w:t>
            </w:r>
          </w:p>
          <w:p w14:paraId="7927B482" w14:textId="77777777" w:rsidR="001E2A60" w:rsidRPr="008739B7" w:rsidRDefault="001E2A60" w:rsidP="0086592E">
            <w:pPr>
              <w:jc w:val="both"/>
              <w:rPr>
                <w:color w:val="000000"/>
                <w:sz w:val="22"/>
                <w:szCs w:val="22"/>
              </w:rPr>
            </w:pPr>
          </w:p>
          <w:p w14:paraId="0344DB76" w14:textId="7FE7C763" w:rsidR="00EB6A25" w:rsidRPr="003C5AF8" w:rsidRDefault="00EB6A25" w:rsidP="00EB6A25">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00660DE6">
              <w:rPr>
                <w:b/>
                <w:sz w:val="22"/>
                <w:szCs w:val="22"/>
              </w:rPr>
              <w:t>31 жовтня</w:t>
            </w:r>
            <w:r w:rsidRPr="003C5AF8">
              <w:rPr>
                <w:b/>
                <w:sz w:val="22"/>
                <w:szCs w:val="22"/>
              </w:rPr>
              <w:t xml:space="preserve"> 2026 р. включно.</w:t>
            </w:r>
          </w:p>
          <w:p w14:paraId="03A3F7A4" w14:textId="77777777" w:rsidR="00091294" w:rsidRPr="008739B7" w:rsidRDefault="00091294" w:rsidP="006841C2">
            <w:pPr>
              <w:jc w:val="both"/>
              <w:rPr>
                <w:color w:val="000000"/>
                <w:sz w:val="22"/>
                <w:szCs w:val="22"/>
              </w:rPr>
            </w:pPr>
            <w:r w:rsidRPr="008739B7">
              <w:rPr>
                <w:color w:val="000000"/>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8" w:history="1">
              <w:r w:rsidR="006841C2" w:rsidRPr="008739B7">
                <w:rPr>
                  <w:rStyle w:val="ae"/>
                  <w:color w:val="000000"/>
                  <w:sz w:val="22"/>
                  <w:szCs w:val="22"/>
                </w:rPr>
                <w:t>https://vin.enera.ua</w:t>
              </w:r>
            </w:hyperlink>
            <w:r w:rsidRPr="008739B7">
              <w:rPr>
                <w:color w:val="000000"/>
                <w:sz w:val="22"/>
                <w:szCs w:val="22"/>
              </w:rPr>
              <w:t>.</w:t>
            </w:r>
          </w:p>
          <w:p w14:paraId="446003C8" w14:textId="77777777" w:rsidR="00091294" w:rsidRPr="008739B7" w:rsidRDefault="006841C2" w:rsidP="00AE1CD7">
            <w:pPr>
              <w:jc w:val="both"/>
              <w:rPr>
                <w:color w:val="000000"/>
                <w:sz w:val="22"/>
                <w:szCs w:val="22"/>
              </w:rPr>
            </w:pPr>
            <w:r w:rsidRPr="008739B7">
              <w:rPr>
                <w:color w:val="000000"/>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091294" w:rsidRPr="008739B7" w14:paraId="3F7D3421" w14:textId="77777777" w:rsidTr="006841C2">
        <w:tc>
          <w:tcPr>
            <w:tcW w:w="3289" w:type="dxa"/>
            <w:shd w:val="clear" w:color="auto" w:fill="auto"/>
          </w:tcPr>
          <w:p w14:paraId="20F21FA3" w14:textId="77777777" w:rsidR="00091294" w:rsidRPr="008739B7" w:rsidRDefault="001230F2" w:rsidP="001230F2">
            <w:pPr>
              <w:pStyle w:val="HTML"/>
              <w:rPr>
                <w:rFonts w:ascii="Times New Roman" w:eastAsia="Calibri" w:hAnsi="Times New Roman" w:cs="Times New Roman"/>
                <w:sz w:val="22"/>
                <w:szCs w:val="22"/>
                <w:lang w:val="uk-UA"/>
              </w:rPr>
            </w:pPr>
            <w:r w:rsidRPr="008739B7">
              <w:rPr>
                <w:rFonts w:ascii="Times New Roman" w:eastAsia="Calibri" w:hAnsi="Times New Roman" w:cs="Times New Roman"/>
                <w:b/>
                <w:bCs/>
                <w:sz w:val="22"/>
                <w:szCs w:val="22"/>
                <w:lang w:val="uk-UA" w:eastAsia="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776" w:type="dxa"/>
            <w:shd w:val="clear" w:color="auto" w:fill="auto"/>
          </w:tcPr>
          <w:p w14:paraId="03B485C9" w14:textId="77777777" w:rsidR="00091294" w:rsidRPr="008739B7" w:rsidRDefault="006841C2" w:rsidP="00E82ECB">
            <w:pPr>
              <w:jc w:val="both"/>
              <w:rPr>
                <w:color w:val="000000"/>
                <w:sz w:val="22"/>
                <w:szCs w:val="22"/>
              </w:rPr>
            </w:pPr>
            <w:r w:rsidRPr="008739B7">
              <w:rPr>
                <w:color w:val="000000"/>
                <w:sz w:val="22"/>
                <w:szCs w:val="22"/>
              </w:rPr>
              <w:t xml:space="preserve">Вінницька </w:t>
            </w:r>
            <w:r w:rsidR="00091294" w:rsidRPr="008739B7">
              <w:rPr>
                <w:color w:val="000000"/>
                <w:sz w:val="22"/>
                <w:szCs w:val="22"/>
              </w:rPr>
              <w:t>область</w:t>
            </w:r>
          </w:p>
        </w:tc>
      </w:tr>
      <w:tr w:rsidR="00E82ECB" w:rsidRPr="008739B7" w14:paraId="25A1264D" w14:textId="77777777" w:rsidTr="006841C2">
        <w:tc>
          <w:tcPr>
            <w:tcW w:w="3289" w:type="dxa"/>
            <w:shd w:val="clear" w:color="auto" w:fill="auto"/>
          </w:tcPr>
          <w:p w14:paraId="4145B419" w14:textId="77777777" w:rsidR="00E82ECB" w:rsidRPr="008739B7" w:rsidRDefault="00E82ECB" w:rsidP="00E82ECB">
            <w:pPr>
              <w:pStyle w:val="HTML"/>
              <w:jc w:val="both"/>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2A1B0251" w14:textId="77777777" w:rsidR="00E82ECB" w:rsidRPr="008739B7" w:rsidRDefault="00E82ECB" w:rsidP="00E82ECB">
            <w:pPr>
              <w:jc w:val="both"/>
              <w:rPr>
                <w:color w:val="000000"/>
                <w:sz w:val="22"/>
                <w:szCs w:val="22"/>
              </w:rPr>
            </w:pPr>
            <w:r w:rsidRPr="008739B7">
              <w:rPr>
                <w:color w:val="000000"/>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6934B218" w14:textId="77777777" w:rsidR="00E82ECB" w:rsidRPr="008739B7" w:rsidRDefault="00E82ECB" w:rsidP="00E82ECB">
            <w:pPr>
              <w:jc w:val="both"/>
              <w:rPr>
                <w:color w:val="000000"/>
                <w:sz w:val="22"/>
                <w:szCs w:val="22"/>
              </w:rPr>
            </w:pPr>
            <w:r w:rsidRPr="008739B7">
              <w:rPr>
                <w:color w:val="000000"/>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091294" w:rsidRPr="008739B7" w14:paraId="5B403CC0" w14:textId="77777777" w:rsidTr="006841C2">
        <w:tc>
          <w:tcPr>
            <w:tcW w:w="3289" w:type="dxa"/>
            <w:shd w:val="clear" w:color="auto" w:fill="auto"/>
          </w:tcPr>
          <w:p w14:paraId="32471ACF"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hAnsi="Times New Roman" w:cs="Times New Roman"/>
                <w:b/>
                <w:bCs/>
                <w:sz w:val="22"/>
                <w:szCs w:val="22"/>
                <w:lang w:val="uk-UA"/>
              </w:rPr>
              <w:t>Термін (строк)  виставлення рахунку за спожиту електричну енергію</w:t>
            </w:r>
            <w:r w:rsidRPr="008739B7">
              <w:rPr>
                <w:rFonts w:ascii="Times New Roman" w:eastAsia="Calibri" w:hAnsi="Times New Roman" w:cs="Times New Roman"/>
                <w:b/>
                <w:bCs/>
                <w:sz w:val="22"/>
                <w:szCs w:val="22"/>
                <w:lang w:val="uk-UA"/>
              </w:rPr>
              <w:t xml:space="preserve">  </w:t>
            </w:r>
          </w:p>
        </w:tc>
        <w:tc>
          <w:tcPr>
            <w:tcW w:w="6776" w:type="dxa"/>
            <w:shd w:val="clear" w:color="auto" w:fill="auto"/>
          </w:tcPr>
          <w:p w14:paraId="6CDC51EF" w14:textId="77777777" w:rsidR="00091294" w:rsidRPr="008739B7" w:rsidRDefault="00091294" w:rsidP="00E82ECB">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091294" w:rsidRPr="008739B7" w14:paraId="67246A12" w14:textId="77777777" w:rsidTr="006841C2">
        <w:tc>
          <w:tcPr>
            <w:tcW w:w="3289" w:type="dxa"/>
            <w:shd w:val="clear" w:color="auto" w:fill="auto"/>
          </w:tcPr>
          <w:p w14:paraId="4A678690"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hAnsi="Times New Roman" w:cs="Times New Roman"/>
                <w:b/>
                <w:bCs/>
                <w:sz w:val="22"/>
                <w:szCs w:val="22"/>
                <w:lang w:val="uk-UA"/>
              </w:rPr>
              <w:t>Термін (строк) оплати рахунку за спожиту електричну енергію</w:t>
            </w:r>
            <w:r w:rsidRPr="008739B7">
              <w:rPr>
                <w:rFonts w:ascii="Times New Roman" w:eastAsia="Calibri" w:hAnsi="Times New Roman" w:cs="Times New Roman"/>
                <w:b/>
                <w:bCs/>
                <w:sz w:val="22"/>
                <w:szCs w:val="22"/>
                <w:lang w:val="uk-UA"/>
              </w:rPr>
              <w:t xml:space="preserve">  </w:t>
            </w:r>
          </w:p>
        </w:tc>
        <w:tc>
          <w:tcPr>
            <w:tcW w:w="6776" w:type="dxa"/>
            <w:shd w:val="clear" w:color="auto" w:fill="auto"/>
          </w:tcPr>
          <w:p w14:paraId="00A222F9" w14:textId="77777777" w:rsidR="00091294" w:rsidRPr="008739B7" w:rsidRDefault="00091294" w:rsidP="00E82ECB">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Протягом 5 робочих днів від дати отримання рахунка</w:t>
            </w:r>
          </w:p>
        </w:tc>
      </w:tr>
      <w:tr w:rsidR="00B916E9" w:rsidRPr="008739B7" w14:paraId="7B455653" w14:textId="77777777" w:rsidTr="006841C2">
        <w:tc>
          <w:tcPr>
            <w:tcW w:w="3289" w:type="dxa"/>
            <w:shd w:val="clear" w:color="auto" w:fill="auto"/>
          </w:tcPr>
          <w:p w14:paraId="7B06168B" w14:textId="77777777" w:rsidR="00B916E9" w:rsidRPr="008739B7" w:rsidRDefault="00B916E9" w:rsidP="00C90228">
            <w:pPr>
              <w:rPr>
                <w:color w:val="000000"/>
                <w:sz w:val="22"/>
                <w:szCs w:val="22"/>
              </w:rPr>
            </w:pPr>
            <w:r w:rsidRPr="008739B7">
              <w:rPr>
                <w:b/>
                <w:bCs/>
                <w:color w:val="000000"/>
                <w:sz w:val="22"/>
                <w:szCs w:val="22"/>
                <w:lang w:eastAsia="ru-RU"/>
              </w:rPr>
              <w:t>Визначення способу оплати послуг з розподілу та передачі електричної енергії</w:t>
            </w:r>
          </w:p>
        </w:tc>
        <w:tc>
          <w:tcPr>
            <w:tcW w:w="6776" w:type="dxa"/>
            <w:shd w:val="clear" w:color="auto" w:fill="auto"/>
          </w:tcPr>
          <w:p w14:paraId="339BCE47" w14:textId="77777777" w:rsidR="00B916E9" w:rsidRPr="008739B7" w:rsidRDefault="00B916E9" w:rsidP="006841C2">
            <w:pPr>
              <w:jc w:val="both"/>
              <w:rPr>
                <w:color w:val="000000"/>
                <w:sz w:val="22"/>
                <w:szCs w:val="22"/>
              </w:rPr>
            </w:pPr>
            <w:r w:rsidRPr="008739B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091294" w:rsidRPr="008739B7" w14:paraId="652574CE" w14:textId="77777777" w:rsidTr="006841C2">
        <w:tc>
          <w:tcPr>
            <w:tcW w:w="3289" w:type="dxa"/>
            <w:shd w:val="clear" w:color="auto" w:fill="auto"/>
          </w:tcPr>
          <w:p w14:paraId="2E0DBADE"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5FC6B548" w14:textId="77777777" w:rsidR="00091294" w:rsidRPr="008739B7" w:rsidRDefault="00091294" w:rsidP="006841C2">
            <w:pPr>
              <w:jc w:val="both"/>
              <w:rPr>
                <w:color w:val="000000"/>
                <w:sz w:val="22"/>
                <w:szCs w:val="22"/>
              </w:rPr>
            </w:pPr>
            <w:r w:rsidRPr="008739B7">
              <w:rPr>
                <w:color w:val="000000"/>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1230F2" w:rsidRPr="008739B7" w14:paraId="70E2875D" w14:textId="77777777" w:rsidTr="006841C2">
        <w:tc>
          <w:tcPr>
            <w:tcW w:w="3289" w:type="dxa"/>
            <w:shd w:val="clear" w:color="auto" w:fill="auto"/>
          </w:tcPr>
          <w:p w14:paraId="68FEE105" w14:textId="77777777" w:rsidR="001230F2" w:rsidRPr="008739B7" w:rsidRDefault="001230F2"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776" w:type="dxa"/>
            <w:shd w:val="clear" w:color="auto" w:fill="auto"/>
          </w:tcPr>
          <w:p w14:paraId="150B6306" w14:textId="77777777" w:rsidR="001230F2" w:rsidRPr="008739B7" w:rsidRDefault="001230F2" w:rsidP="006841C2">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1230F2" w:rsidRPr="008739B7" w14:paraId="0D24357C" w14:textId="77777777" w:rsidTr="006841C2">
        <w:tc>
          <w:tcPr>
            <w:tcW w:w="3289" w:type="dxa"/>
            <w:shd w:val="clear" w:color="auto" w:fill="auto"/>
          </w:tcPr>
          <w:p w14:paraId="3D6FDEBD" w14:textId="77777777" w:rsidR="001230F2" w:rsidRPr="008739B7" w:rsidRDefault="001230F2"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 xml:space="preserve">Наявність або відсутність штрафу за дострокове </w:t>
            </w:r>
            <w:r w:rsidRPr="008739B7">
              <w:rPr>
                <w:rFonts w:ascii="Times New Roman" w:eastAsia="Calibri" w:hAnsi="Times New Roman" w:cs="Times New Roman"/>
                <w:b/>
                <w:bCs/>
                <w:sz w:val="22"/>
                <w:szCs w:val="22"/>
                <w:lang w:val="uk-UA"/>
              </w:rPr>
              <w:lastRenderedPageBreak/>
              <w:t>припинення дії договору, розмір штрафу</w:t>
            </w:r>
          </w:p>
        </w:tc>
        <w:tc>
          <w:tcPr>
            <w:tcW w:w="6776" w:type="dxa"/>
            <w:shd w:val="clear" w:color="auto" w:fill="auto"/>
          </w:tcPr>
          <w:p w14:paraId="07C0DE7E" w14:textId="77777777" w:rsidR="001230F2" w:rsidRPr="008739B7" w:rsidRDefault="001230F2" w:rsidP="001230F2">
            <w:pPr>
              <w:pStyle w:val="HTML"/>
              <w:jc w:val="both"/>
              <w:rPr>
                <w:rFonts w:ascii="Times New Roman" w:eastAsia="Calibri" w:hAnsi="Times New Roman" w:cs="Times New Roman"/>
                <w:sz w:val="22"/>
                <w:szCs w:val="22"/>
                <w:lang w:val="uk-UA"/>
              </w:rPr>
            </w:pPr>
            <w:r w:rsidRPr="008739B7">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091294" w:rsidRPr="008739B7" w14:paraId="3DF8443D" w14:textId="77777777" w:rsidTr="006841C2">
        <w:tc>
          <w:tcPr>
            <w:tcW w:w="3289" w:type="dxa"/>
            <w:shd w:val="clear" w:color="auto" w:fill="auto"/>
          </w:tcPr>
          <w:p w14:paraId="412481E1"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3097788B" w14:textId="77777777" w:rsidR="00091294" w:rsidRPr="008739B7" w:rsidRDefault="006841C2" w:rsidP="00E82ECB">
            <w:pPr>
              <w:jc w:val="both"/>
              <w:rPr>
                <w:rFonts w:eastAsia="Calibri"/>
                <w:color w:val="000000"/>
                <w:sz w:val="22"/>
                <w:szCs w:val="22"/>
              </w:rPr>
            </w:pPr>
            <w:r w:rsidRPr="008739B7">
              <w:rPr>
                <w:color w:val="000000"/>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091294" w:rsidRPr="008739B7" w14:paraId="278305AE" w14:textId="77777777" w:rsidTr="006841C2">
        <w:tc>
          <w:tcPr>
            <w:tcW w:w="3289" w:type="dxa"/>
            <w:shd w:val="clear" w:color="auto" w:fill="auto"/>
          </w:tcPr>
          <w:p w14:paraId="785EA688" w14:textId="77777777" w:rsidR="00091294" w:rsidRPr="008739B7" w:rsidRDefault="00091294" w:rsidP="001230F2">
            <w:pPr>
              <w:pStyle w:val="HTML"/>
              <w:rPr>
                <w:rFonts w:ascii="Times New Roman" w:eastAsia="Calibri" w:hAnsi="Times New Roman" w:cs="Times New Roman"/>
                <w:b/>
                <w:bCs/>
                <w:sz w:val="22"/>
                <w:szCs w:val="22"/>
                <w:lang w:val="uk-UA"/>
              </w:rPr>
            </w:pPr>
            <w:r w:rsidRPr="008739B7">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6227AF75" w14:textId="77777777" w:rsidR="00091294" w:rsidRPr="008739B7" w:rsidRDefault="00091294" w:rsidP="00E82ECB">
            <w:pPr>
              <w:jc w:val="both"/>
              <w:rPr>
                <w:rFonts w:eastAsia="Calibri"/>
                <w:color w:val="000000"/>
                <w:sz w:val="22"/>
                <w:szCs w:val="22"/>
              </w:rPr>
            </w:pPr>
            <w:r w:rsidRPr="008739B7">
              <w:rPr>
                <w:rFonts w:eastAsia="Calibri"/>
                <w:color w:val="000000"/>
                <w:sz w:val="22"/>
                <w:szCs w:val="22"/>
              </w:rPr>
              <w:t>Не надаються</w:t>
            </w:r>
          </w:p>
        </w:tc>
      </w:tr>
      <w:tr w:rsidR="00E82ECB" w:rsidRPr="008739B7" w14:paraId="11ED1286" w14:textId="77777777" w:rsidTr="006841C2">
        <w:tc>
          <w:tcPr>
            <w:tcW w:w="3289" w:type="dxa"/>
            <w:shd w:val="clear" w:color="auto" w:fill="auto"/>
          </w:tcPr>
          <w:p w14:paraId="687DA672" w14:textId="77777777" w:rsidR="00E82ECB" w:rsidRPr="008739B7" w:rsidRDefault="00E82ECB" w:rsidP="001230F2">
            <w:pPr>
              <w:pStyle w:val="HTML"/>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37675322" w14:textId="77777777" w:rsidR="00E82ECB" w:rsidRPr="008739B7" w:rsidRDefault="00E82ECB" w:rsidP="00E82ECB">
            <w:pPr>
              <w:jc w:val="both"/>
              <w:rPr>
                <w:color w:val="000000"/>
                <w:sz w:val="22"/>
                <w:szCs w:val="22"/>
              </w:rPr>
            </w:pPr>
            <w:r w:rsidRPr="008739B7">
              <w:rPr>
                <w:color w:val="000000"/>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3B4796" w:rsidRPr="008739B7" w14:paraId="56363F45" w14:textId="77777777" w:rsidTr="006841C2">
        <w:tc>
          <w:tcPr>
            <w:tcW w:w="3289" w:type="dxa"/>
            <w:tcBorders>
              <w:top w:val="single" w:sz="6" w:space="0" w:color="auto"/>
              <w:left w:val="single" w:sz="6" w:space="0" w:color="auto"/>
              <w:bottom w:val="single" w:sz="6" w:space="0" w:color="auto"/>
              <w:right w:val="single" w:sz="6" w:space="0" w:color="auto"/>
            </w:tcBorders>
          </w:tcPr>
          <w:p w14:paraId="4EEC69FB" w14:textId="77777777" w:rsidR="003B4796" w:rsidRPr="008739B7" w:rsidRDefault="003B4796" w:rsidP="001230F2">
            <w:pPr>
              <w:pStyle w:val="HTML"/>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5EAAB113" w14:textId="77777777" w:rsidR="003B4796" w:rsidRPr="008739B7" w:rsidRDefault="003B4796" w:rsidP="003B4796">
            <w:pPr>
              <w:jc w:val="both"/>
              <w:rPr>
                <w:color w:val="000000"/>
                <w:sz w:val="22"/>
                <w:szCs w:val="22"/>
              </w:rPr>
            </w:pPr>
            <w:r w:rsidRPr="008739B7">
              <w:rPr>
                <w:color w:val="000000"/>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5581F83" w14:textId="77777777" w:rsidR="003B4796" w:rsidRPr="008739B7" w:rsidRDefault="003B4796" w:rsidP="003B4796">
            <w:pPr>
              <w:jc w:val="both"/>
              <w:rPr>
                <w:color w:val="000000"/>
                <w:sz w:val="22"/>
                <w:szCs w:val="22"/>
              </w:rPr>
            </w:pPr>
            <w:r w:rsidRPr="008739B7">
              <w:rPr>
                <w:color w:val="000000"/>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30BDB6DD" w14:textId="77777777" w:rsidR="003B4796" w:rsidRPr="008739B7" w:rsidRDefault="003B4796" w:rsidP="003B4796">
            <w:pPr>
              <w:jc w:val="both"/>
              <w:rPr>
                <w:color w:val="000000"/>
                <w:sz w:val="22"/>
                <w:szCs w:val="22"/>
              </w:rPr>
            </w:pPr>
            <w:r w:rsidRPr="008739B7">
              <w:rPr>
                <w:color w:val="000000"/>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791D00B1" w14:textId="77777777" w:rsidR="003B4796" w:rsidRPr="008739B7" w:rsidRDefault="003B4796" w:rsidP="003B4796">
            <w:pPr>
              <w:jc w:val="both"/>
              <w:rPr>
                <w:color w:val="000000"/>
                <w:sz w:val="22"/>
                <w:szCs w:val="22"/>
              </w:rPr>
            </w:pPr>
            <w:r w:rsidRPr="008739B7">
              <w:rPr>
                <w:color w:val="000000"/>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8B08048" w14:textId="77777777" w:rsidR="003B4796" w:rsidRPr="008739B7" w:rsidRDefault="003B4796" w:rsidP="006841C2">
            <w:pPr>
              <w:pStyle w:val="Default"/>
              <w:jc w:val="both"/>
              <w:rPr>
                <w:sz w:val="22"/>
                <w:szCs w:val="22"/>
                <w:lang w:val="uk-UA"/>
              </w:rPr>
            </w:pPr>
            <w:r w:rsidRPr="008739B7">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B4796" w:rsidRPr="008739B7" w14:paraId="05EA17EB" w14:textId="77777777" w:rsidTr="006841C2">
        <w:tc>
          <w:tcPr>
            <w:tcW w:w="3289" w:type="dxa"/>
            <w:shd w:val="clear" w:color="auto" w:fill="auto"/>
          </w:tcPr>
          <w:p w14:paraId="7A26103B" w14:textId="77777777" w:rsidR="003B4796" w:rsidRPr="008739B7" w:rsidRDefault="003B4796" w:rsidP="003B4796">
            <w:pPr>
              <w:pStyle w:val="HTML"/>
              <w:jc w:val="both"/>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t>Електронний документообіг</w:t>
            </w:r>
          </w:p>
        </w:tc>
        <w:tc>
          <w:tcPr>
            <w:tcW w:w="6776" w:type="dxa"/>
            <w:shd w:val="clear" w:color="auto" w:fill="auto"/>
          </w:tcPr>
          <w:p w14:paraId="2149A34B" w14:textId="77777777" w:rsidR="00E510AE" w:rsidRPr="008739B7" w:rsidRDefault="00E510AE" w:rsidP="00E510AE">
            <w:pPr>
              <w:contextualSpacing/>
              <w:jc w:val="both"/>
              <w:textAlignment w:val="baseline"/>
              <w:rPr>
                <w:color w:val="000000"/>
                <w:sz w:val="22"/>
                <w:szCs w:val="22"/>
              </w:rPr>
            </w:pPr>
            <w:r w:rsidRPr="008739B7">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10A3177" w14:textId="77777777" w:rsidR="00E510AE" w:rsidRPr="008739B7" w:rsidRDefault="00E510AE" w:rsidP="00E510AE">
            <w:pPr>
              <w:contextualSpacing/>
              <w:jc w:val="both"/>
              <w:textAlignment w:val="baseline"/>
              <w:rPr>
                <w:rFonts w:eastAsia="SimSun"/>
                <w:color w:val="000000"/>
                <w:sz w:val="22"/>
                <w:szCs w:val="22"/>
              </w:rPr>
            </w:pPr>
            <w:r w:rsidRPr="008739B7">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186512" w14:textId="77777777" w:rsidR="003B4796" w:rsidRPr="008739B7" w:rsidRDefault="00E510AE" w:rsidP="003B4796">
            <w:pPr>
              <w:rPr>
                <w:color w:val="000000"/>
                <w:sz w:val="22"/>
                <w:szCs w:val="22"/>
              </w:rPr>
            </w:pPr>
            <w:r w:rsidRPr="008739B7">
              <w:rPr>
                <w:color w:val="000000"/>
                <w:sz w:val="22"/>
                <w:szCs w:val="22"/>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w:t>
            </w:r>
            <w:r w:rsidRPr="008739B7">
              <w:rPr>
                <w:color w:val="000000"/>
                <w:sz w:val="22"/>
                <w:szCs w:val="22"/>
              </w:rPr>
              <w:lastRenderedPageBreak/>
              <w:t>підтвердження про отримання (доставку) Споживачем таких документів.</w:t>
            </w:r>
          </w:p>
        </w:tc>
      </w:tr>
      <w:tr w:rsidR="003B4796" w:rsidRPr="008739B7" w14:paraId="26AD8405" w14:textId="77777777" w:rsidTr="006841C2">
        <w:tc>
          <w:tcPr>
            <w:tcW w:w="3289" w:type="dxa"/>
            <w:shd w:val="clear" w:color="auto" w:fill="auto"/>
          </w:tcPr>
          <w:p w14:paraId="00A44494" w14:textId="77777777" w:rsidR="003B4796" w:rsidRPr="008739B7" w:rsidRDefault="003B4796" w:rsidP="003B4796">
            <w:pPr>
              <w:pStyle w:val="HTML"/>
              <w:jc w:val="both"/>
              <w:rPr>
                <w:rFonts w:ascii="Times New Roman" w:hAnsi="Times New Roman" w:cs="Times New Roman"/>
                <w:b/>
                <w:bCs/>
                <w:sz w:val="22"/>
                <w:szCs w:val="22"/>
                <w:lang w:val="uk-UA"/>
              </w:rPr>
            </w:pPr>
            <w:r w:rsidRPr="008739B7">
              <w:rPr>
                <w:rFonts w:ascii="Times New Roman" w:hAnsi="Times New Roman" w:cs="Times New Roman"/>
                <w:b/>
                <w:bCs/>
                <w:sz w:val="22"/>
                <w:szCs w:val="22"/>
                <w:lang w:val="uk-UA"/>
              </w:rPr>
              <w:lastRenderedPageBreak/>
              <w:t>Інші умови</w:t>
            </w:r>
          </w:p>
        </w:tc>
        <w:tc>
          <w:tcPr>
            <w:tcW w:w="6776" w:type="dxa"/>
            <w:shd w:val="clear" w:color="auto" w:fill="auto"/>
          </w:tcPr>
          <w:p w14:paraId="38E789B4" w14:textId="77777777" w:rsidR="00E510AE" w:rsidRPr="008739B7" w:rsidRDefault="00E510AE" w:rsidP="00E510AE">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8739B7">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59A911D"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rPr>
            </w:pPr>
            <w:r w:rsidRPr="008739B7">
              <w:rPr>
                <w:rStyle w:val="FontStyle12"/>
                <w:color w:val="000000"/>
                <w:lang w:val="uk-UA"/>
              </w:rPr>
              <w:t>через особистий кабінет на офіційному сайті Постачальника у мережі Інтернет;</w:t>
            </w:r>
          </w:p>
          <w:p w14:paraId="35BDD8DB"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rPr>
            </w:pPr>
            <w:r w:rsidRPr="008739B7">
              <w:rPr>
                <w:rStyle w:val="FontStyle12"/>
                <w:color w:val="000000"/>
                <w:lang w:val="uk-UA"/>
              </w:rPr>
              <w:t>засобами електронного зв'язку на електронну адресу, вказану у заяві-приєднанні до умов Договору;</w:t>
            </w:r>
          </w:p>
          <w:p w14:paraId="4F3522CC"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eastAsia="uk-UA"/>
              </w:rPr>
            </w:pPr>
            <w:r w:rsidRPr="008739B7">
              <w:rPr>
                <w:rStyle w:val="FontStyle12"/>
                <w:color w:val="000000"/>
                <w:lang w:val="uk-UA" w:eastAsia="uk-UA"/>
              </w:rPr>
              <w:t>СМС-повідомленням на номер, зазначений у заяві-приєднанні до умов Договору;</w:t>
            </w:r>
          </w:p>
          <w:p w14:paraId="4484D2C3" w14:textId="77777777" w:rsidR="00E510AE" w:rsidRPr="008739B7" w:rsidRDefault="00E510AE" w:rsidP="00E510AE">
            <w:pPr>
              <w:pStyle w:val="Style6"/>
              <w:widowControl/>
              <w:numPr>
                <w:ilvl w:val="0"/>
                <w:numId w:val="9"/>
              </w:numPr>
              <w:tabs>
                <w:tab w:val="left" w:pos="351"/>
                <w:tab w:val="left" w:pos="451"/>
              </w:tabs>
              <w:spacing w:line="240" w:lineRule="auto"/>
              <w:ind w:left="293" w:hanging="293"/>
              <w:contextualSpacing/>
              <w:jc w:val="both"/>
              <w:rPr>
                <w:rStyle w:val="FontStyle12"/>
                <w:color w:val="000000"/>
                <w:lang w:val="uk-UA" w:eastAsia="uk-UA"/>
              </w:rPr>
            </w:pPr>
            <w:r w:rsidRPr="008739B7">
              <w:rPr>
                <w:rStyle w:val="FontStyle12"/>
                <w:color w:val="000000"/>
                <w:lang w:val="uk-UA" w:eastAsia="uk-UA"/>
              </w:rPr>
              <w:t>у центрах обслуговування споживачів;</w:t>
            </w:r>
          </w:p>
          <w:p w14:paraId="369656D6" w14:textId="77777777" w:rsidR="00E510AE" w:rsidRPr="008739B7" w:rsidRDefault="00E510AE" w:rsidP="00E510AE">
            <w:pPr>
              <w:pStyle w:val="Style6"/>
              <w:widowControl/>
              <w:numPr>
                <w:ilvl w:val="0"/>
                <w:numId w:val="9"/>
              </w:numPr>
              <w:tabs>
                <w:tab w:val="left" w:pos="351"/>
                <w:tab w:val="left" w:pos="451"/>
              </w:tabs>
              <w:spacing w:line="240" w:lineRule="auto"/>
              <w:ind w:left="295" w:hanging="295"/>
              <w:contextualSpacing/>
              <w:jc w:val="both"/>
              <w:rPr>
                <w:rStyle w:val="FontStyle12"/>
                <w:color w:val="000000"/>
                <w:lang w:val="uk-UA" w:eastAsia="uk-UA"/>
              </w:rPr>
            </w:pPr>
            <w:r w:rsidRPr="008739B7">
              <w:rPr>
                <w:rStyle w:val="FontStyle12"/>
                <w:color w:val="000000"/>
                <w:lang w:val="uk-UA" w:eastAsia="uk-UA"/>
              </w:rPr>
              <w:t>тощо.</w:t>
            </w:r>
          </w:p>
          <w:p w14:paraId="408E1AF8" w14:textId="77777777" w:rsidR="003B4796" w:rsidRPr="008739B7" w:rsidRDefault="003B4796" w:rsidP="003B4796">
            <w:pPr>
              <w:jc w:val="both"/>
              <w:rPr>
                <w:color w:val="000000"/>
                <w:sz w:val="22"/>
                <w:szCs w:val="22"/>
              </w:rPr>
            </w:pPr>
          </w:p>
        </w:tc>
      </w:tr>
    </w:tbl>
    <w:p w14:paraId="69AE8B2E" w14:textId="77777777" w:rsidR="00986A9C" w:rsidRPr="008739B7" w:rsidRDefault="00986A9C" w:rsidP="00986A9C">
      <w:pPr>
        <w:tabs>
          <w:tab w:val="left" w:pos="1695"/>
        </w:tabs>
        <w:rPr>
          <w:color w:val="000000"/>
          <w:sz w:val="22"/>
          <w:szCs w:val="22"/>
        </w:rPr>
      </w:pPr>
    </w:p>
    <w:p w14:paraId="6182260D" w14:textId="77777777" w:rsidR="00660DE6" w:rsidRDefault="00660DE6" w:rsidP="001230F2">
      <w:pPr>
        <w:rPr>
          <w:b/>
          <w:bCs/>
          <w:color w:val="000000"/>
          <w:sz w:val="22"/>
          <w:szCs w:val="22"/>
        </w:rPr>
      </w:pPr>
    </w:p>
    <w:p w14:paraId="681E5BF8" w14:textId="7CF86D33" w:rsidR="001230F2" w:rsidRPr="00660DE6" w:rsidRDefault="001230F2" w:rsidP="001230F2">
      <w:pPr>
        <w:rPr>
          <w:b/>
          <w:bCs/>
          <w:color w:val="000000"/>
          <w:sz w:val="22"/>
          <w:szCs w:val="22"/>
        </w:rPr>
      </w:pPr>
      <w:r w:rsidRPr="00660DE6">
        <w:rPr>
          <w:b/>
          <w:bCs/>
          <w:color w:val="000000"/>
          <w:sz w:val="22"/>
          <w:szCs w:val="22"/>
        </w:rPr>
        <w:t>Постачальник:</w:t>
      </w:r>
    </w:p>
    <w:p w14:paraId="6FBB2763" w14:textId="77777777" w:rsidR="001230F2" w:rsidRPr="00660DE6" w:rsidRDefault="001230F2" w:rsidP="001230F2">
      <w:pPr>
        <w:rPr>
          <w:b/>
          <w:bCs/>
          <w:color w:val="000000"/>
          <w:sz w:val="22"/>
          <w:szCs w:val="22"/>
        </w:rPr>
      </w:pPr>
      <w:r w:rsidRPr="00660DE6">
        <w:rPr>
          <w:b/>
          <w:bCs/>
          <w:color w:val="000000"/>
          <w:sz w:val="22"/>
          <w:szCs w:val="22"/>
        </w:rPr>
        <w:t xml:space="preserve">ТОВ </w:t>
      </w:r>
      <w:r w:rsidR="006841C2" w:rsidRPr="00660DE6">
        <w:rPr>
          <w:b/>
          <w:bCs/>
          <w:color w:val="000000"/>
          <w:sz w:val="22"/>
          <w:szCs w:val="22"/>
        </w:rPr>
        <w:t>«</w:t>
      </w:r>
      <w:r w:rsidRPr="00660DE6">
        <w:rPr>
          <w:b/>
          <w:bCs/>
          <w:color w:val="000000"/>
          <w:sz w:val="22"/>
          <w:szCs w:val="22"/>
        </w:rPr>
        <w:t xml:space="preserve">ЕНЕРА </w:t>
      </w:r>
      <w:r w:rsidR="006841C2" w:rsidRPr="00660DE6">
        <w:rPr>
          <w:b/>
          <w:bCs/>
          <w:color w:val="000000"/>
          <w:sz w:val="22"/>
          <w:szCs w:val="22"/>
        </w:rPr>
        <w:t>ВІННИЦЯ»</w:t>
      </w:r>
    </w:p>
    <w:sectPr w:rsidR="001230F2" w:rsidRPr="00660DE6" w:rsidSect="00E510AE">
      <w:headerReference w:type="default" r:id="rId9"/>
      <w:pgSz w:w="11900" w:h="16840"/>
      <w:pgMar w:top="567" w:right="567" w:bottom="993"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FCE0" w14:textId="77777777" w:rsidR="005355C8" w:rsidRDefault="005355C8" w:rsidP="006841C2">
      <w:r>
        <w:separator/>
      </w:r>
    </w:p>
  </w:endnote>
  <w:endnote w:type="continuationSeparator" w:id="0">
    <w:p w14:paraId="14BCA866" w14:textId="77777777" w:rsidR="005355C8" w:rsidRDefault="005355C8" w:rsidP="0068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C8FA" w14:textId="77777777" w:rsidR="005355C8" w:rsidRDefault="005355C8" w:rsidP="006841C2">
      <w:r>
        <w:separator/>
      </w:r>
    </w:p>
  </w:footnote>
  <w:footnote w:type="continuationSeparator" w:id="0">
    <w:p w14:paraId="57027E5C" w14:textId="77777777" w:rsidR="005355C8" w:rsidRDefault="005355C8" w:rsidP="0068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EF14" w14:textId="77777777" w:rsidR="006841C2" w:rsidRPr="006841C2" w:rsidRDefault="006841C2">
    <w:pPr>
      <w:pStyle w:val="a9"/>
      <w:jc w:val="center"/>
      <w:rPr>
        <w:sz w:val="20"/>
        <w:szCs w:val="20"/>
      </w:rPr>
    </w:pPr>
    <w:r w:rsidRPr="006841C2">
      <w:rPr>
        <w:sz w:val="20"/>
        <w:szCs w:val="20"/>
      </w:rPr>
      <w:fldChar w:fldCharType="begin"/>
    </w:r>
    <w:r w:rsidRPr="006841C2">
      <w:rPr>
        <w:sz w:val="20"/>
        <w:szCs w:val="20"/>
      </w:rPr>
      <w:instrText>PAGE   \* MERGEFORMAT</w:instrText>
    </w:r>
    <w:r w:rsidRPr="006841C2">
      <w:rPr>
        <w:sz w:val="20"/>
        <w:szCs w:val="20"/>
      </w:rPr>
      <w:fldChar w:fldCharType="separate"/>
    </w:r>
    <w:r w:rsidR="000106D2">
      <w:rPr>
        <w:noProof/>
        <w:sz w:val="20"/>
        <w:szCs w:val="20"/>
      </w:rPr>
      <w:t>2</w:t>
    </w:r>
    <w:r w:rsidRPr="006841C2">
      <w:rPr>
        <w:sz w:val="20"/>
        <w:szCs w:val="20"/>
      </w:rPr>
      <w:fldChar w:fldCharType="end"/>
    </w:r>
  </w:p>
  <w:p w14:paraId="75958716" w14:textId="77777777" w:rsidR="006841C2" w:rsidRDefault="006841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594A63"/>
    <w:multiLevelType w:val="hybridMultilevel"/>
    <w:tmpl w:val="DF3A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502454">
    <w:abstractNumId w:val="4"/>
  </w:num>
  <w:num w:numId="2" w16cid:durableId="630331747">
    <w:abstractNumId w:val="7"/>
  </w:num>
  <w:num w:numId="3" w16cid:durableId="696538514">
    <w:abstractNumId w:val="1"/>
  </w:num>
  <w:num w:numId="4" w16cid:durableId="319773569">
    <w:abstractNumId w:val="3"/>
  </w:num>
  <w:num w:numId="5" w16cid:durableId="684282249">
    <w:abstractNumId w:val="8"/>
  </w:num>
  <w:num w:numId="6" w16cid:durableId="730882680">
    <w:abstractNumId w:val="6"/>
  </w:num>
  <w:num w:numId="7" w16cid:durableId="1581596156">
    <w:abstractNumId w:val="0"/>
  </w:num>
  <w:num w:numId="8" w16cid:durableId="471022953">
    <w:abstractNumId w:val="2"/>
  </w:num>
  <w:num w:numId="9" w16cid:durableId="402334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06D2"/>
    <w:rsid w:val="00015508"/>
    <w:rsid w:val="00016D34"/>
    <w:rsid w:val="0002026A"/>
    <w:rsid w:val="00061199"/>
    <w:rsid w:val="000659F9"/>
    <w:rsid w:val="00067C35"/>
    <w:rsid w:val="00091294"/>
    <w:rsid w:val="000B62EF"/>
    <w:rsid w:val="000C6CD0"/>
    <w:rsid w:val="000D598A"/>
    <w:rsid w:val="000D7705"/>
    <w:rsid w:val="000E05EC"/>
    <w:rsid w:val="00116D1B"/>
    <w:rsid w:val="001225BC"/>
    <w:rsid w:val="001230F2"/>
    <w:rsid w:val="00141AAF"/>
    <w:rsid w:val="00163BF3"/>
    <w:rsid w:val="00181549"/>
    <w:rsid w:val="00183436"/>
    <w:rsid w:val="001849DE"/>
    <w:rsid w:val="001B7FB7"/>
    <w:rsid w:val="001E2A60"/>
    <w:rsid w:val="001F0CB6"/>
    <w:rsid w:val="00222E97"/>
    <w:rsid w:val="00223A57"/>
    <w:rsid w:val="00226C60"/>
    <w:rsid w:val="00230516"/>
    <w:rsid w:val="0025342D"/>
    <w:rsid w:val="002654DC"/>
    <w:rsid w:val="00282F05"/>
    <w:rsid w:val="002B4937"/>
    <w:rsid w:val="002F221E"/>
    <w:rsid w:val="00343566"/>
    <w:rsid w:val="003737A6"/>
    <w:rsid w:val="00395311"/>
    <w:rsid w:val="00395D55"/>
    <w:rsid w:val="003B4796"/>
    <w:rsid w:val="003C2F2D"/>
    <w:rsid w:val="003C645B"/>
    <w:rsid w:val="003C7171"/>
    <w:rsid w:val="003D3F09"/>
    <w:rsid w:val="003D45BE"/>
    <w:rsid w:val="0042390E"/>
    <w:rsid w:val="00447154"/>
    <w:rsid w:val="00462E39"/>
    <w:rsid w:val="00493E95"/>
    <w:rsid w:val="004D0ABA"/>
    <w:rsid w:val="004E26DA"/>
    <w:rsid w:val="0050706C"/>
    <w:rsid w:val="005355C8"/>
    <w:rsid w:val="005677D6"/>
    <w:rsid w:val="005811FA"/>
    <w:rsid w:val="00581438"/>
    <w:rsid w:val="005D2577"/>
    <w:rsid w:val="005D58DD"/>
    <w:rsid w:val="00611E0F"/>
    <w:rsid w:val="00642578"/>
    <w:rsid w:val="00660DE6"/>
    <w:rsid w:val="006841C2"/>
    <w:rsid w:val="006B692A"/>
    <w:rsid w:val="00722409"/>
    <w:rsid w:val="007B5A54"/>
    <w:rsid w:val="00805FE3"/>
    <w:rsid w:val="0082165B"/>
    <w:rsid w:val="00834BDD"/>
    <w:rsid w:val="0086592E"/>
    <w:rsid w:val="008739B7"/>
    <w:rsid w:val="008B343D"/>
    <w:rsid w:val="008C0DDD"/>
    <w:rsid w:val="008C52C5"/>
    <w:rsid w:val="008D3418"/>
    <w:rsid w:val="008E58A2"/>
    <w:rsid w:val="009112BA"/>
    <w:rsid w:val="009831BE"/>
    <w:rsid w:val="00986A9C"/>
    <w:rsid w:val="009E4F9B"/>
    <w:rsid w:val="009F2DD6"/>
    <w:rsid w:val="009F331E"/>
    <w:rsid w:val="00A239D9"/>
    <w:rsid w:val="00A2621C"/>
    <w:rsid w:val="00A35DC8"/>
    <w:rsid w:val="00A53698"/>
    <w:rsid w:val="00A93566"/>
    <w:rsid w:val="00AA174C"/>
    <w:rsid w:val="00AB2782"/>
    <w:rsid w:val="00AC08EA"/>
    <w:rsid w:val="00AD58AD"/>
    <w:rsid w:val="00AE1CD7"/>
    <w:rsid w:val="00B51B11"/>
    <w:rsid w:val="00B8614E"/>
    <w:rsid w:val="00B916E9"/>
    <w:rsid w:val="00BB1DFC"/>
    <w:rsid w:val="00BC4506"/>
    <w:rsid w:val="00BE0082"/>
    <w:rsid w:val="00C12120"/>
    <w:rsid w:val="00C14CA3"/>
    <w:rsid w:val="00C20CCA"/>
    <w:rsid w:val="00C40A9C"/>
    <w:rsid w:val="00C70ADA"/>
    <w:rsid w:val="00C71424"/>
    <w:rsid w:val="00C84B84"/>
    <w:rsid w:val="00C90228"/>
    <w:rsid w:val="00CB6EB5"/>
    <w:rsid w:val="00D171F7"/>
    <w:rsid w:val="00D35A76"/>
    <w:rsid w:val="00D427CD"/>
    <w:rsid w:val="00D5718C"/>
    <w:rsid w:val="00D81587"/>
    <w:rsid w:val="00DC4A88"/>
    <w:rsid w:val="00E000CD"/>
    <w:rsid w:val="00E12C13"/>
    <w:rsid w:val="00E34799"/>
    <w:rsid w:val="00E46EF6"/>
    <w:rsid w:val="00E510AE"/>
    <w:rsid w:val="00E82ECB"/>
    <w:rsid w:val="00EB6A25"/>
    <w:rsid w:val="00EF2452"/>
    <w:rsid w:val="00F13BF8"/>
    <w:rsid w:val="00F263FA"/>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51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6841C2"/>
    <w:pPr>
      <w:tabs>
        <w:tab w:val="center" w:pos="4819"/>
        <w:tab w:val="right" w:pos="9639"/>
      </w:tabs>
    </w:pPr>
  </w:style>
  <w:style w:type="character" w:customStyle="1" w:styleId="aa">
    <w:name w:val="Верхній колонтитул Знак"/>
    <w:link w:val="a9"/>
    <w:uiPriority w:val="99"/>
    <w:rsid w:val="006841C2"/>
    <w:rPr>
      <w:rFonts w:ascii="Times New Roman" w:eastAsia="Times New Roman" w:hAnsi="Times New Roman"/>
      <w:sz w:val="24"/>
      <w:szCs w:val="24"/>
    </w:rPr>
  </w:style>
  <w:style w:type="paragraph" w:styleId="ab">
    <w:name w:val="footer"/>
    <w:basedOn w:val="a"/>
    <w:link w:val="ac"/>
    <w:uiPriority w:val="99"/>
    <w:unhideWhenUsed/>
    <w:rsid w:val="006841C2"/>
    <w:pPr>
      <w:tabs>
        <w:tab w:val="center" w:pos="4819"/>
        <w:tab w:val="right" w:pos="9639"/>
      </w:tabs>
    </w:pPr>
  </w:style>
  <w:style w:type="character" w:customStyle="1" w:styleId="ac">
    <w:name w:val="Нижній колонтитул Знак"/>
    <w:link w:val="ab"/>
    <w:uiPriority w:val="99"/>
    <w:rsid w:val="006841C2"/>
    <w:rPr>
      <w:rFonts w:ascii="Times New Roman" w:eastAsia="Times New Roman" w:hAnsi="Times New Roman"/>
      <w:sz w:val="24"/>
      <w:szCs w:val="24"/>
    </w:rPr>
  </w:style>
  <w:style w:type="paragraph" w:styleId="ad">
    <w:name w:val="Revision"/>
    <w:hidden/>
    <w:uiPriority w:val="99"/>
    <w:semiHidden/>
    <w:rsid w:val="006841C2"/>
    <w:rPr>
      <w:rFonts w:ascii="Times New Roman" w:eastAsia="Times New Roman" w:hAnsi="Times New Roman"/>
      <w:sz w:val="24"/>
      <w:szCs w:val="24"/>
    </w:rPr>
  </w:style>
  <w:style w:type="character" w:styleId="ae">
    <w:name w:val="Hyperlink"/>
    <w:uiPriority w:val="99"/>
    <w:unhideWhenUsed/>
    <w:rsid w:val="006841C2"/>
    <w:rPr>
      <w:color w:val="467886"/>
      <w:u w:val="single"/>
    </w:rPr>
  </w:style>
  <w:style w:type="character" w:customStyle="1" w:styleId="FontStyle12">
    <w:name w:val="Font Style12"/>
    <w:uiPriority w:val="99"/>
    <w:rsid w:val="00E510AE"/>
    <w:rPr>
      <w:rFonts w:ascii="Times New Roman" w:hAnsi="Times New Roman" w:cs="Times New Roman"/>
      <w:sz w:val="22"/>
      <w:szCs w:val="22"/>
    </w:rPr>
  </w:style>
  <w:style w:type="paragraph" w:customStyle="1" w:styleId="Style7">
    <w:name w:val="Style7"/>
    <w:basedOn w:val="a"/>
    <w:uiPriority w:val="99"/>
    <w:rsid w:val="00E510AE"/>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E510AE"/>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56792314">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388F-DA25-41F2-96F4-9334DE18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6241</Words>
  <Characters>3558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9780</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2025-11-13T14:41:00Z</dcterms:created>
  <dcterms:modified xsi:type="dcterms:W3CDTF">2026-04-30T07:16:00Z</dcterms:modified>
</cp:coreProperties>
</file>